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adjustRightInd w:val="0"/>
        <w:snapToGrid/>
        <w:spacing w:line="592" w:lineRule="exact"/>
        <w:textAlignment w:val="auto"/>
        <w:rPr>
          <w:rFonts w:hint="eastAsia" w:eastAsia="黑体"/>
          <w:sz w:val="32"/>
          <w:szCs w:val="32"/>
          <w:lang w:val="en-US" w:eastAsia="zh-CN"/>
        </w:rPr>
      </w:pPr>
      <w:r>
        <w:rPr>
          <w:rFonts w:hint="eastAsia" w:eastAsia="黑体"/>
          <w:sz w:val="32"/>
          <w:szCs w:val="32"/>
        </w:rPr>
        <w:t>附件</w:t>
      </w:r>
      <w:r>
        <w:rPr>
          <w:rFonts w:hint="eastAsia" w:eastAsia="黑体"/>
          <w:sz w:val="32"/>
          <w:szCs w:val="32"/>
          <w:lang w:eastAsia="zh-CN"/>
        </w:rPr>
        <w:t>３</w:t>
      </w:r>
      <w:r>
        <w:rPr>
          <w:rFonts w:hint="eastAsia" w:eastAsia="黑体"/>
          <w:sz w:val="32"/>
          <w:szCs w:val="32"/>
          <w:lang w:val="en-US" w:eastAsia="zh-CN"/>
        </w:rPr>
        <w:t xml:space="preserve">  </w:t>
      </w:r>
    </w:p>
    <w:p>
      <w:pPr>
        <w:pStyle w:val="2"/>
        <w:pageBreakBefore w:val="0"/>
        <w:widowControl w:val="0"/>
        <w:kinsoku/>
        <w:wordWrap/>
        <w:overflowPunct/>
        <w:topLinePunct w:val="0"/>
        <w:autoSpaceDE/>
        <w:autoSpaceDN/>
        <w:bidi w:val="0"/>
        <w:snapToGrid/>
        <w:spacing w:line="592" w:lineRule="exact"/>
        <w:ind w:left="0" w:leftChars="0" w:firstLine="0" w:firstLineChars="0"/>
        <w:jc w:val="center"/>
        <w:textAlignment w:val="auto"/>
        <w:rPr>
          <w:rFonts w:hint="eastAsia" w:eastAsia="宋体" w:asciiTheme="minorHAnsi" w:hAnsiTheme="minorHAnsi" w:cstheme="minorBidi"/>
          <w:b w:val="0"/>
          <w:bCs w:val="0"/>
          <w:kern w:val="2"/>
          <w:sz w:val="44"/>
          <w:szCs w:val="44"/>
          <w:lang w:val="en-US" w:eastAsia="zh-CN" w:bidi="ar-SA"/>
        </w:rPr>
      </w:pPr>
    </w:p>
    <w:p>
      <w:pPr>
        <w:pStyle w:val="2"/>
        <w:pageBreakBefore w:val="0"/>
        <w:widowControl w:val="0"/>
        <w:kinsoku/>
        <w:wordWrap/>
        <w:overflowPunct/>
        <w:topLinePunct w:val="0"/>
        <w:autoSpaceDE/>
        <w:autoSpaceDN/>
        <w:bidi w:val="0"/>
        <w:snapToGrid/>
        <w:spacing w:line="592" w:lineRule="exact"/>
        <w:ind w:left="0" w:leftChars="0" w:firstLine="0" w:firstLineChars="0"/>
        <w:jc w:val="center"/>
        <w:textAlignment w:val="auto"/>
        <w:rPr>
          <w:rFonts w:hint="eastAsia" w:eastAsia="宋体" w:asciiTheme="minorHAnsi" w:hAnsiTheme="minorHAnsi" w:cstheme="minorBidi"/>
          <w:b w:val="0"/>
          <w:bCs w:val="0"/>
          <w:kern w:val="2"/>
          <w:sz w:val="44"/>
          <w:szCs w:val="44"/>
          <w:lang w:val="en-US" w:eastAsia="zh-CN" w:bidi="ar-SA"/>
        </w:rPr>
      </w:pPr>
      <w:r>
        <w:rPr>
          <w:rFonts w:hint="eastAsia" w:eastAsia="宋体" w:asciiTheme="minorHAnsi" w:hAnsiTheme="minorHAnsi" w:cstheme="minorBidi"/>
          <w:b w:val="0"/>
          <w:bCs w:val="0"/>
          <w:kern w:val="2"/>
          <w:sz w:val="44"/>
          <w:szCs w:val="44"/>
          <w:lang w:val="en-US" w:eastAsia="zh-CN" w:bidi="ar-SA"/>
        </w:rPr>
        <w:t>贵阳市废止的行政规范性文件目录（49件）</w:t>
      </w:r>
    </w:p>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hint="eastAsia" w:ascii="黑体" w:hAnsi="宋体" w:eastAsia="黑体" w:cs="黑体"/>
          <w:color w:val="000000" w:themeColor="text1"/>
          <w:kern w:val="0"/>
          <w:sz w:val="28"/>
          <w:szCs w:val="28"/>
          <w14:textFill>
            <w14:solidFill>
              <w14:schemeClr w14:val="tx1"/>
            </w14:solidFill>
          </w14:textFill>
        </w:rPr>
      </w:pPr>
    </w:p>
    <w:tbl>
      <w:tblPr>
        <w:tblStyle w:val="3"/>
        <w:tblW w:w="8346" w:type="dxa"/>
        <w:tblInd w:w="0" w:type="dxa"/>
        <w:tblLayout w:type="autofit"/>
        <w:tblCellMar>
          <w:top w:w="0" w:type="dxa"/>
          <w:left w:w="0" w:type="dxa"/>
          <w:bottom w:w="0" w:type="dxa"/>
          <w:right w:w="0" w:type="dxa"/>
        </w:tblCellMar>
      </w:tblPr>
      <w:tblGrid>
        <w:gridCol w:w="651"/>
        <w:gridCol w:w="2850"/>
        <w:gridCol w:w="4845"/>
      </w:tblGrid>
      <w:tr>
        <w:tblPrEx>
          <w:tblCellMar>
            <w:top w:w="0" w:type="dxa"/>
            <w:left w:w="0" w:type="dxa"/>
            <w:bottom w:w="0" w:type="dxa"/>
            <w:right w:w="0" w:type="dxa"/>
          </w:tblCellMar>
        </w:tblPrEx>
        <w:trPr>
          <w:trHeight w:val="54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序号</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文号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文件名称</w:t>
            </w:r>
          </w:p>
        </w:tc>
      </w:tr>
      <w:tr>
        <w:tblPrEx>
          <w:tblCellMar>
            <w:top w:w="0" w:type="dxa"/>
            <w:left w:w="0" w:type="dxa"/>
            <w:bottom w:w="0" w:type="dxa"/>
            <w:right w:w="0" w:type="dxa"/>
          </w:tblCellMar>
        </w:tblPrEx>
        <w:trPr>
          <w:trHeight w:val="640" w:hRule="atLeast"/>
        </w:trPr>
        <w:tc>
          <w:tcPr>
            <w:tcW w:w="83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2012年度前</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筑府办发〔2011〕202号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市人民政府办公厅关于认真做好企业一套表统计改革工作的通知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筑府办发〔2012〕157号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w:t>
            </w:r>
            <w:bookmarkStart w:id="0" w:name="_GoBack"/>
            <w:bookmarkEnd w:id="0"/>
            <w:r>
              <w:rPr>
                <w:rFonts w:hint="eastAsia" w:ascii="宋体" w:hAnsi="宋体" w:eastAsia="宋体" w:cs="宋体"/>
                <w:color w:val="000000" w:themeColor="text1"/>
                <w:kern w:val="0"/>
                <w:sz w:val="24"/>
                <w14:textFill>
                  <w14:solidFill>
                    <w14:schemeClr w14:val="tx1"/>
                  </w14:solidFill>
                </w14:textFill>
              </w:rPr>
              <w:t>于印发贵阳市行政事业单位财务管理规定的通知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筑府发〔2012〕50号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市人民政府关于批转《贵阳市国有企业重大事项管理暂行规定》的通知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筑府发〔2012〕65号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市人民政府关于印发《贵阳市集体土地范围内房屋建设和登记暂行规定》的通知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筑府发〔2012〕67号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市人民政府关于印发《贵阳市市政公用事业特许经营招标投标监督管理制度》的通知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筑府发〔2012〕90号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市人民政府关于印发《贵阳市公共租赁住房收储配租运营管理实施办法（暂行）》的通知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筑府发〔2012〕91号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市人民政府关于印发贵阳市进一步规范政府融资工作的意见的通知</w:t>
            </w:r>
          </w:p>
        </w:tc>
      </w:tr>
      <w:tr>
        <w:tblPrEx>
          <w:tblCellMar>
            <w:top w:w="0" w:type="dxa"/>
            <w:left w:w="0" w:type="dxa"/>
            <w:bottom w:w="0" w:type="dxa"/>
            <w:right w:w="0" w:type="dxa"/>
          </w:tblCellMar>
        </w:tblPrEx>
        <w:trPr>
          <w:trHeight w:val="640" w:hRule="atLeast"/>
        </w:trPr>
        <w:tc>
          <w:tcPr>
            <w:tcW w:w="83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2013年度</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筑府办发〔2013〕57号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关于建立促进创业带动就业长效机制巩固和发展“全国创业就业先进城市”成果的意见</w:t>
            </w:r>
          </w:p>
        </w:tc>
      </w:tr>
      <w:tr>
        <w:tblPrEx>
          <w:tblCellMar>
            <w:top w:w="0" w:type="dxa"/>
            <w:left w:w="0" w:type="dxa"/>
            <w:bottom w:w="0" w:type="dxa"/>
            <w:right w:w="0" w:type="dxa"/>
          </w:tblCellMar>
        </w:tblPrEx>
        <w:trPr>
          <w:trHeight w:val="855"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9</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筑府办发〔2013〕58号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市人民政府办公厅关于转发市公安消防支队《贵阳市建设工程消防设计、施工、质量和消防审核验收终身负责制管理办法》的通知</w:t>
            </w:r>
          </w:p>
        </w:tc>
      </w:tr>
      <w:tr>
        <w:tblPrEx>
          <w:tblCellMar>
            <w:top w:w="0" w:type="dxa"/>
            <w:left w:w="0" w:type="dxa"/>
            <w:bottom w:w="0" w:type="dxa"/>
            <w:right w:w="0" w:type="dxa"/>
          </w:tblCellMar>
        </w:tblPrEx>
        <w:trPr>
          <w:trHeight w:val="855"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10</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筑府办发〔2013〕59号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市人民政府办公厅关于转发市公安消防支队贵阳市建设工程相关责任主体重大消防安全违法行为“黑名单”制度管理办法的通知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筑府办发〔2013〕61号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市人民政府办公厅转发市公安消防支队《贵阳市道路和建筑消防设施标识化管理规定》的通知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筑府办发〔2013〕89号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市人民政府办公厅关于印发贵阳市举报违法违章建设行为奖励暂行办法的通知</w:t>
            </w:r>
          </w:p>
        </w:tc>
      </w:tr>
      <w:tr>
        <w:tblPrEx>
          <w:tblCellMar>
            <w:top w:w="0" w:type="dxa"/>
            <w:left w:w="0" w:type="dxa"/>
            <w:bottom w:w="0" w:type="dxa"/>
            <w:right w:w="0" w:type="dxa"/>
          </w:tblCellMar>
        </w:tblPrEx>
        <w:trPr>
          <w:trHeight w:val="285"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筑府办发〔2013〕92号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贵阳市加强和完善服务业统计工作实施方案</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14</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筑府发〔2013〕40号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市人民政府印发关于支持贵阳电子商务产业园发展的优惠政策（试行）的通知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15</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筑府发〔2013〕43号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市人民政府印发关于金融支持中关村贵阳科技园建设的意见的通知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16</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筑府发〔2013〕45号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市人民政府关于印发贵阳市政府产业扶持引导基金管理暂行办法的通知</w:t>
            </w:r>
          </w:p>
        </w:tc>
      </w:tr>
      <w:tr>
        <w:tblPrEx>
          <w:tblCellMar>
            <w:top w:w="0" w:type="dxa"/>
            <w:left w:w="0" w:type="dxa"/>
            <w:bottom w:w="0" w:type="dxa"/>
            <w:right w:w="0" w:type="dxa"/>
          </w:tblCellMar>
        </w:tblPrEx>
        <w:trPr>
          <w:trHeight w:val="640" w:hRule="atLeast"/>
        </w:trPr>
        <w:tc>
          <w:tcPr>
            <w:tcW w:w="83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2014年度</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17</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筑府办发〔2014〕18号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市人民政府办公厅印发关于加强土地储备融资工作的实施意见（试行）的通知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18</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筑府办发〔2014〕55号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市人民政府办公厅关于印发《贵阳市加强就业小额担保贷款财政贴息资金管理实施意见（试行）》的通知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19</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筑府办发〔2014〕56号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市人民政府办公厅关于进一步加强和规范全市国有土地上房屋征收与补偿管理工作的通知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20</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筑府发〔2014〕2号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市人民政府关于实施贵阳市“四在农家.美丽乡村”基础设施建设六项行动计划的意见</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21</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筑府发〔2014〕19号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市人民政府关于改革完善食品药品监督管理体制的实施意见</w:t>
            </w:r>
          </w:p>
        </w:tc>
      </w:tr>
      <w:tr>
        <w:tblPrEx>
          <w:tblCellMar>
            <w:top w:w="0" w:type="dxa"/>
            <w:left w:w="0" w:type="dxa"/>
            <w:bottom w:w="0" w:type="dxa"/>
            <w:right w:w="0" w:type="dxa"/>
          </w:tblCellMar>
        </w:tblPrEx>
        <w:trPr>
          <w:trHeight w:val="855"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22</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筑府发〔2014〕26号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贵阳市人民政府 贵州省经济和信息化委员会 中共贵州省委国防工业委员会印发《关于大力推进贵阳市军民融合深度发展的实施意见》的通知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23</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筑府发〔2014〕30号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市人民政府关于印发贵阳市政府产业扶持引导基金管理暂行办法实施细则的通知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24</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筑府发〔2014〕31号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市人民政府关于印发贵阳市促进股权投资基金发展的若干规定的通知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25</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筑府发〔2014〕32号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市人民政府印发关于修改《贵阳市公共租赁住房管理暂行办法》部分条款内容的通知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26</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筑府发〔2014〕33号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市人民政府关于印发贵阳市示范小城镇建设引导资金管理暂行办法的通知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27</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筑府发〔2014〕36号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市人民政府关于印发支持贵阳市互联网金融产业发展的若干政策措施（试行）的通知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28</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筑府发〔2014〕52号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市人民政府关于支持白云区加快打造都市现代农业发展升级版的通知</w:t>
            </w:r>
          </w:p>
        </w:tc>
      </w:tr>
      <w:tr>
        <w:tblPrEx>
          <w:tblCellMar>
            <w:top w:w="0" w:type="dxa"/>
            <w:left w:w="0" w:type="dxa"/>
            <w:bottom w:w="0" w:type="dxa"/>
            <w:right w:w="0" w:type="dxa"/>
          </w:tblCellMar>
        </w:tblPrEx>
        <w:trPr>
          <w:trHeight w:val="640" w:hRule="atLeast"/>
        </w:trPr>
        <w:tc>
          <w:tcPr>
            <w:tcW w:w="83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2015年度</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29</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筑府办发〔2015〕16号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市人民政府办公厅关于印发《贵阳市服务外包及呼叫中心产业发展专项资金管理办法（试行）》的通知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30</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筑府办发〔2015〕27号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市人民政府办公厅关于印发贵阳市2015年申请公共租赁住房保障收入和住房困难标准的通知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31</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筑府发〔2015〕35号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市人民政府印发关于加快电子商务发展实施方案的通知</w:t>
            </w:r>
          </w:p>
        </w:tc>
      </w:tr>
      <w:tr>
        <w:tblPrEx>
          <w:tblCellMar>
            <w:top w:w="0" w:type="dxa"/>
            <w:left w:w="0" w:type="dxa"/>
            <w:bottom w:w="0" w:type="dxa"/>
            <w:right w:w="0" w:type="dxa"/>
          </w:tblCellMar>
        </w:tblPrEx>
        <w:trPr>
          <w:trHeight w:val="285"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32</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筑府发〔2015〕41号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市人民政府关于做好第三次全国农业普查的通知</w:t>
            </w:r>
          </w:p>
        </w:tc>
      </w:tr>
      <w:tr>
        <w:tblPrEx>
          <w:tblCellMar>
            <w:top w:w="0" w:type="dxa"/>
            <w:left w:w="0" w:type="dxa"/>
            <w:bottom w:w="0" w:type="dxa"/>
            <w:right w:w="0" w:type="dxa"/>
          </w:tblCellMar>
        </w:tblPrEx>
        <w:trPr>
          <w:trHeight w:val="640" w:hRule="atLeast"/>
        </w:trPr>
        <w:tc>
          <w:tcPr>
            <w:tcW w:w="83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2016年度</w:t>
            </w:r>
          </w:p>
        </w:tc>
      </w:tr>
      <w:tr>
        <w:tblPrEx>
          <w:tblCellMar>
            <w:top w:w="0" w:type="dxa"/>
            <w:left w:w="0" w:type="dxa"/>
            <w:bottom w:w="0" w:type="dxa"/>
            <w:right w:w="0" w:type="dxa"/>
          </w:tblCellMar>
        </w:tblPrEx>
        <w:trPr>
          <w:trHeight w:val="855"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33</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筑府办发〔2016〕28号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市人民政府办公厅关于印发《贵阳市“十三五”“四在农家·美丽乡村”基础设施建设辛苦行动计划（2016--2020）》的通知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34</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筑府办发〔2016〕34号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市人民政府办公厅关于印发贵阳市中小微企业信用贷款风险补偿资金池管理办法的通知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35</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筑府办发〔2016〕36号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市人民政府办公厅关于印发贵阳市工业和信息化产业发展引导基金管理办法的通知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36</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筑府办发〔2016〕37号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市人民政府办公厅关于印发贵阳市中小微企业转贷应急资金管理办法的通知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37</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筑府办发〔2016〕51号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市人民政府办公厅关于全面推进小微企业创新基地城市示范工作若干政策的意见</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38</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筑府办发〔2016〕52号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市人民政府办公厅关于印发贵阳市小微企业创业创新基地城市示范专项资金管理办法的通知</w:t>
            </w:r>
          </w:p>
        </w:tc>
      </w:tr>
      <w:tr>
        <w:tblPrEx>
          <w:tblCellMar>
            <w:top w:w="0" w:type="dxa"/>
            <w:left w:w="0" w:type="dxa"/>
            <w:bottom w:w="0" w:type="dxa"/>
            <w:right w:w="0" w:type="dxa"/>
          </w:tblCellMar>
        </w:tblPrEx>
        <w:trPr>
          <w:trHeight w:val="855"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39</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筑府办函〔2016〕67号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市人民政府办公厅《关于印发&lt;贵阳市网上办事大厅运行管理办法（试行）&gt;&lt;贵阳市网上办事大厅考核办法（试行）&gt;》的通知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40</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筑府办函〔2016〕136号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市人民政府办公厅关于印发贵阳市注册登记全过程电子试点工作方案的通知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41</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筑府办函〔2016〕160号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市人民政府办公厅关于进一步加强户外门头广告牌匾设置管理的实施意见</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42</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筑府办函〔2016〕194号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市人民政府关于印发贵阳市物流标准化试点城市实施方案的通知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43</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筑府发〔2016〕18号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市人民政府印发关于印发推进工业转型升级的若干政策措施的通知</w:t>
            </w:r>
          </w:p>
        </w:tc>
      </w:tr>
      <w:tr>
        <w:tblPrEx>
          <w:tblCellMar>
            <w:top w:w="0" w:type="dxa"/>
            <w:left w:w="0" w:type="dxa"/>
            <w:bottom w:w="0" w:type="dxa"/>
            <w:right w:w="0" w:type="dxa"/>
          </w:tblCellMar>
        </w:tblPrEx>
        <w:trPr>
          <w:trHeight w:val="285"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44</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筑府发〔2016〕22号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市人民政府关于深入推进新型城镇化建设的实施意见</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45</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筑府发〔2016〕24号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市人民政府关于印发贵阳市引导社会资金参与土地一级开发整理暂行办法（修改稿）的通知</w:t>
            </w:r>
          </w:p>
        </w:tc>
      </w:tr>
      <w:tr>
        <w:tblPrEx>
          <w:tblCellMar>
            <w:top w:w="0" w:type="dxa"/>
            <w:left w:w="0" w:type="dxa"/>
            <w:bottom w:w="0" w:type="dxa"/>
            <w:right w:w="0" w:type="dxa"/>
          </w:tblCellMar>
        </w:tblPrEx>
        <w:trPr>
          <w:trHeight w:val="640" w:hRule="atLeast"/>
        </w:trPr>
        <w:tc>
          <w:tcPr>
            <w:tcW w:w="83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2017年度</w:t>
            </w:r>
          </w:p>
        </w:tc>
      </w:tr>
      <w:tr>
        <w:tblPrEx>
          <w:tblCellMar>
            <w:top w:w="0" w:type="dxa"/>
            <w:left w:w="0" w:type="dxa"/>
            <w:bottom w:w="0" w:type="dxa"/>
            <w:right w:w="0" w:type="dxa"/>
          </w:tblCellMar>
        </w:tblPrEx>
        <w:trPr>
          <w:trHeight w:val="64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46</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筑府办发〔2017〕2号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市人民政府办公厅关于印发《数字贵阳地理空间框架建设与使用管理办法》的通知</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47</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筑府办函〔2017〕36号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市人民政府办公厅关于印发贵阳市促进加工贸易创新发展政策措施的通知</w:t>
            </w:r>
          </w:p>
        </w:tc>
      </w:tr>
      <w:tr>
        <w:tblPrEx>
          <w:tblCellMar>
            <w:top w:w="0" w:type="dxa"/>
            <w:left w:w="0" w:type="dxa"/>
            <w:bottom w:w="0" w:type="dxa"/>
            <w:right w:w="0" w:type="dxa"/>
          </w:tblCellMar>
        </w:tblPrEx>
        <w:trPr>
          <w:trHeight w:val="640" w:hRule="atLeast"/>
        </w:trPr>
        <w:tc>
          <w:tcPr>
            <w:tcW w:w="83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2018年度</w:t>
            </w:r>
          </w:p>
        </w:tc>
      </w:tr>
      <w:tr>
        <w:tblPrEx>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48</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筑府办发〔2018〕13号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市人民政府办公厅关于印发贵阳市规范农村土地经营权流转管理暂行办法的通知</w:t>
            </w:r>
          </w:p>
        </w:tc>
      </w:tr>
      <w:tr>
        <w:tblPrEx>
          <w:tblCellMar>
            <w:top w:w="0" w:type="dxa"/>
            <w:left w:w="0" w:type="dxa"/>
            <w:bottom w:w="0" w:type="dxa"/>
            <w:right w:w="0" w:type="dxa"/>
          </w:tblCellMar>
        </w:tblPrEx>
        <w:trPr>
          <w:trHeight w:val="855"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49</w:t>
            </w:r>
          </w:p>
        </w:tc>
        <w:tc>
          <w:tcPr>
            <w:tcW w:w="2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筑府办发〔2018〕15号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市人民政府办公厅关于印发《贵阳市棚户区城中村共享改造项目低效用地再开发一次性挂牌的指导意见》的通知</w:t>
            </w:r>
          </w:p>
        </w:tc>
      </w:tr>
    </w:tbl>
    <w:p>
      <w:pPr>
        <w:keepNext w:val="0"/>
        <w:keepLines w:val="0"/>
        <w:pageBreakBefore w:val="0"/>
        <w:kinsoku/>
        <w:wordWrap/>
        <w:overflowPunct/>
        <w:topLinePunct w:val="0"/>
        <w:autoSpaceDE/>
        <w:autoSpaceDN/>
        <w:bidi w:val="0"/>
        <w:adjustRightInd/>
        <w:snapToGrid/>
        <w:spacing w:line="44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D0DAC2"/>
    <w:rsid w:val="7BD0DA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76" w:lineRule="auto"/>
      <w:ind w:firstLine="200" w:firstLineChars="200"/>
      <w:outlineLvl w:val="0"/>
    </w:pPr>
    <w:rPr>
      <w:rFonts w:eastAsia="Times New Roman"/>
      <w:b/>
      <w:bCs/>
      <w:kern w:val="44"/>
      <w:sz w:val="44"/>
      <w:szCs w:val="4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2023-07-19T15:34:00Z</dcterms:created>
  <dc:creator>ysgz</dc:creator>
  <cp:lastModifiedBy>ysgz</cp:lastModifiedBy>
  <dcterms:modified xsi:type="dcterms:W3CDTF">2023-07-19T15:39:35Z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