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ACF8F">
      <w:pPr>
        <w:keepNext w:val="0"/>
        <w:keepLines w:val="0"/>
        <w:widowControl/>
        <w:suppressLineNumbers w:val="0"/>
        <w:jc w:val="both"/>
        <w:textAlignment w:val="center"/>
        <w:rPr>
          <w:rFonts w:hint="default"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附件1-1</w:t>
      </w:r>
    </w:p>
    <w:tbl>
      <w:tblPr>
        <w:tblStyle w:val="3"/>
        <w:tblW w:w="8696"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5"/>
        <w:gridCol w:w="1275"/>
        <w:gridCol w:w="5643"/>
        <w:gridCol w:w="953"/>
      </w:tblGrid>
      <w:tr w14:paraId="6EAC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7" w:hRule="atLeast"/>
        </w:trPr>
        <w:tc>
          <w:tcPr>
            <w:tcW w:w="8696" w:type="dxa"/>
            <w:gridSpan w:val="4"/>
            <w:tcBorders>
              <w:top w:val="nil"/>
              <w:left w:val="nil"/>
              <w:bottom w:val="nil"/>
              <w:right w:val="nil"/>
            </w:tcBorders>
            <w:shd w:val="clear" w:color="auto" w:fill="auto"/>
            <w:noWrap/>
            <w:tcMar>
              <w:top w:w="15" w:type="dxa"/>
              <w:left w:w="15" w:type="dxa"/>
              <w:right w:w="15" w:type="dxa"/>
            </w:tcMar>
            <w:vAlign w:val="center"/>
          </w:tcPr>
          <w:p w14:paraId="37F021FC">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sz w:val="36"/>
                <w:szCs w:val="36"/>
                <w:u w:val="none"/>
                <w:lang w:val="en-US"/>
              </w:rPr>
            </w:pPr>
            <w:r>
              <w:rPr>
                <w:rFonts w:hint="eastAsia" w:ascii="方正小标宋简体" w:hAnsi="方正小标宋简体" w:eastAsia="方正小标宋简体" w:cs="方正小标宋简体"/>
                <w:i w:val="0"/>
                <w:color w:val="000000"/>
                <w:kern w:val="0"/>
                <w:sz w:val="36"/>
                <w:szCs w:val="36"/>
                <w:u w:val="none"/>
                <w:lang w:val="en-US" w:eastAsia="zh-CN" w:bidi="ar"/>
              </w:rPr>
              <w:t>贵阳贵安2025年森林防灭火工作检查内容表</w:t>
            </w:r>
          </w:p>
        </w:tc>
      </w:tr>
      <w:tr w14:paraId="49AEC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FB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349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检查类别</w:t>
            </w:r>
          </w:p>
        </w:tc>
        <w:tc>
          <w:tcPr>
            <w:tcW w:w="5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FD1D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督查内容</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A55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r>
      <w:tr w14:paraId="68B2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82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F4E66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w:t>
            </w:r>
          </w:p>
        </w:tc>
        <w:tc>
          <w:tcPr>
            <w:tcW w:w="12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E35F73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安排部署</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19E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（一）贯彻落实习近平总书记关于森林草原防灭火重要指示精神和省、市领导批示精神情况及国家、省、市森林防灭火工作会议有关情况。</w:t>
            </w:r>
          </w:p>
        </w:tc>
        <w:tc>
          <w:tcPr>
            <w:tcW w:w="95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92B7C22">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r>
      <w:tr w14:paraId="0176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2" w:hRule="atLeast"/>
        </w:trPr>
        <w:tc>
          <w:tcPr>
            <w:tcW w:w="82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B13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pPr>
          </w:p>
        </w:tc>
        <w:tc>
          <w:tcPr>
            <w:tcW w:w="12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83E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pP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5C6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（二）制定新形势下森林防灭火工作实施方案及安排部署森林防灭火工作情况；执行省、市森林禁火令、总林长令情况。</w:t>
            </w:r>
          </w:p>
        </w:tc>
        <w:tc>
          <w:tcPr>
            <w:tcW w:w="95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588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24"/>
                <w:szCs w:val="24"/>
                <w:u w:val="none"/>
                <w:lang w:val="en-US" w:eastAsia="zh-CN"/>
              </w:rPr>
            </w:pPr>
          </w:p>
        </w:tc>
      </w:tr>
      <w:tr w14:paraId="4EB9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6" w:hRule="atLeast"/>
        </w:trPr>
        <w:tc>
          <w:tcPr>
            <w:tcW w:w="82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9A675F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w:t>
            </w:r>
          </w:p>
        </w:tc>
        <w:tc>
          <w:tcPr>
            <w:tcW w:w="127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60BAFE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责任落实</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0BA6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（一）全面落实地方政府、有关部门和林草经营单位森林草原防灭火责任，建立“县—乡（镇、街道）—村—护林员”森林防灭火责任体系，建立包保责任清单，明确包保责任人情况。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E6E1">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r>
      <w:tr w14:paraId="44CF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trPr>
        <w:tc>
          <w:tcPr>
            <w:tcW w:w="82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2E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27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AE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C7A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（二）行业监管部门压实林场、自然保护区、旅游景区、公墓、电力、交通、民爆、油气管线、危险品等林区单位防灭火责任情况。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EF99">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r>
      <w:tr w14:paraId="2B03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FB8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三</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CC0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规范运行</w:t>
            </w:r>
          </w:p>
          <w:p w14:paraId="2151895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机制</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8FA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执行预警响应机制、信息报送机制、建立健全协同联动机制情况。签订联合管控协议、强化联合督导检查和执法联动、强化信息共享和舆情管控情况。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D0C7">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24"/>
                <w:szCs w:val="24"/>
                <w:u w:val="none"/>
              </w:rPr>
            </w:pPr>
          </w:p>
        </w:tc>
      </w:tr>
      <w:tr w14:paraId="59FF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9"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F2E9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四</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AF9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火源管控</w:t>
            </w:r>
          </w:p>
        </w:tc>
        <w:tc>
          <w:tcPr>
            <w:tcW w:w="564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0C6B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（一）森林火险期，按规定对林区内农事用火、祭祀用火、旅游用火等的监管措施落实情况；林区内是否设置明显的森林防火警示标识，有无违规野外用火行为情况。</w:t>
            </w:r>
          </w:p>
        </w:tc>
        <w:tc>
          <w:tcPr>
            <w:tcW w:w="95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8DB1B4F">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24"/>
                <w:szCs w:val="24"/>
                <w:u w:val="none"/>
              </w:rPr>
            </w:pPr>
          </w:p>
        </w:tc>
      </w:tr>
      <w:tr w14:paraId="3612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D26FB">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C0095">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c>
          <w:tcPr>
            <w:tcW w:w="56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E74C0">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开展打击整治违规野外用火行为，查处违规用火行为及森林火灾、火案侦破工作开展情况；护林员及卡点值守人员履职尽责，对防护区域内野外违规用火及时发现、制止情况；开展火情监测监控、督导检查及森林防火队伍集结和带装巡林情况。</w:t>
            </w:r>
          </w:p>
        </w:tc>
        <w:tc>
          <w:tcPr>
            <w:tcW w:w="95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7D7E88A">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24"/>
                <w:szCs w:val="24"/>
                <w:u w:val="none"/>
              </w:rPr>
            </w:pPr>
          </w:p>
        </w:tc>
      </w:tr>
      <w:tr w14:paraId="1E32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1"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5A2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五</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618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风险隐患</w:t>
            </w:r>
          </w:p>
          <w:p w14:paraId="596F8BD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排查</w:t>
            </w:r>
          </w:p>
        </w:tc>
        <w:tc>
          <w:tcPr>
            <w:tcW w:w="5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328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一）组织相关行业部门、林区生产经营单位对林区内油气管道、输配电设施、旅游景点、公墓、在建工程、铁路沿线等重点部位开展森林火灾风险隐患排查治理情况，按规定组织开展计划烧除情况和林下可燃物清理情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1399">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24"/>
                <w:szCs w:val="24"/>
                <w:u w:val="none"/>
              </w:rPr>
            </w:pPr>
          </w:p>
        </w:tc>
      </w:tr>
      <w:tr w14:paraId="32EEE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9"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E389">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0885">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c>
          <w:tcPr>
            <w:tcW w:w="5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741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（二）落实隐患排查、林下可燃物清理、计划烧除清单制闭环管理情况。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F4ED">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24"/>
                <w:szCs w:val="24"/>
                <w:u w:val="none"/>
              </w:rPr>
            </w:pPr>
          </w:p>
        </w:tc>
      </w:tr>
      <w:tr w14:paraId="493D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3"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6FD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六</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60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应急准备</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177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（一）全年开展不少于1次应急演练，针对重点时段制定相应的专项预案情况；发生火情（火灾）组织扑救、启动应急响应、现场指挥、力量调度、余火清理和值守情况。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5852">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24"/>
                <w:szCs w:val="24"/>
                <w:u w:val="none"/>
              </w:rPr>
            </w:pPr>
          </w:p>
        </w:tc>
      </w:tr>
      <w:tr w14:paraId="0C55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8BB0">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820D">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9A8D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（二）高火险期，落实值班值守、火情（火灾）信息和卫星热点核实反馈及专业、半专业队伍是否24小时备勤情况。队伍建设情况（队伍管理、培训、物资配备等）情况。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094A">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24"/>
                <w:szCs w:val="24"/>
                <w:u w:val="none"/>
              </w:rPr>
            </w:pPr>
          </w:p>
        </w:tc>
      </w:tr>
      <w:tr w14:paraId="46D6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3C7A">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18C4">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rPr>
            </w:pP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5FD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物资储备及日常维护保养情况。县级应储备300人以上的森林防灭火物资，含风力灭火机60台、2号灭火工具2000把、防护服300套、夜间照明器材300台（把）、油锯30台以上；有林乡（镇、街道）级应储备50人以上的森林防灭火物资，含风力灭火机10台、2号灭火工具300把、防护服50套、夜间照明器材50台（把）、油锯5台以上，3.其余地区根据本区域防灭火工作实际储备一定数量的物资。</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5FA6">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24"/>
                <w:szCs w:val="24"/>
                <w:u w:val="none"/>
              </w:rPr>
            </w:pPr>
          </w:p>
        </w:tc>
      </w:tr>
      <w:tr w14:paraId="2657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D0C3">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D0B7">
            <w:pPr>
              <w:keepNext w:val="0"/>
              <w:keepLines w:val="0"/>
              <w:pageBreakBefore w:val="0"/>
              <w:widowControl/>
              <w:kinsoku/>
              <w:wordWrap/>
              <w:overflowPunct/>
              <w:topLinePunct w:val="0"/>
              <w:autoSpaceDE/>
              <w:autoSpaceDN/>
              <w:bidi w:val="0"/>
              <w:adjustRightInd/>
              <w:snapToGrid/>
              <w:spacing w:line="460" w:lineRule="exact"/>
              <w:jc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宣传教育</w:t>
            </w:r>
          </w:p>
        </w:tc>
        <w:tc>
          <w:tcPr>
            <w:tcW w:w="5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BCC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利用广播、电视、宣传栏、标语、宣传车等多种形式广泛开展森林防火宣传教育“五进”活动情况；引导群众规范农事用火、文明祭祀、安全用火情况；在重点节假日及森林防火宣传月、宣传周开展森林防火宣传活动情况。</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4525">
            <w:pPr>
              <w:keepNext w:val="0"/>
              <w:keepLines w:val="0"/>
              <w:pageBreakBefore w:val="0"/>
              <w:widowControl/>
              <w:kinsoku/>
              <w:wordWrap/>
              <w:overflowPunct/>
              <w:topLinePunct w:val="0"/>
              <w:autoSpaceDE/>
              <w:autoSpaceDN/>
              <w:bidi w:val="0"/>
              <w:adjustRightInd/>
              <w:snapToGrid/>
              <w:spacing w:line="460" w:lineRule="exact"/>
              <w:rPr>
                <w:rFonts w:hint="eastAsia" w:ascii="仿宋_GB2312" w:hAnsi="仿宋_GB2312" w:eastAsia="仿宋_GB2312" w:cs="仿宋_GB2312"/>
                <w:i w:val="0"/>
                <w:color w:val="000000"/>
                <w:sz w:val="24"/>
                <w:szCs w:val="24"/>
                <w:u w:val="none"/>
              </w:rPr>
            </w:pPr>
          </w:p>
        </w:tc>
      </w:tr>
    </w:tbl>
    <w:p w14:paraId="1961D048">
      <w:pPr>
        <w:rPr>
          <w:rFonts w:hint="default"/>
          <w:lang w:val="en-US" w:eastAsia="zh-CN"/>
        </w:rPr>
      </w:pPr>
    </w:p>
    <w:p w14:paraId="2BEE7358">
      <w:pPr>
        <w:rPr>
          <w:rFonts w:hint="default"/>
          <w:lang w:val="en-US" w:eastAsia="zh-CN"/>
        </w:rPr>
      </w:pPr>
    </w:p>
    <w:tbl>
      <w:tblPr>
        <w:tblStyle w:val="3"/>
        <w:tblW w:w="8614" w:type="dxa"/>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257"/>
        <w:gridCol w:w="5625"/>
        <w:gridCol w:w="907"/>
      </w:tblGrid>
      <w:tr w14:paraId="4524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825" w:type="dxa"/>
            <w:tcBorders>
              <w:top w:val="nil"/>
              <w:left w:val="nil"/>
              <w:bottom w:val="nil"/>
              <w:right w:val="nil"/>
            </w:tcBorders>
            <w:shd w:val="clear" w:color="auto" w:fill="auto"/>
            <w:noWrap/>
            <w:vAlign w:val="center"/>
          </w:tcPr>
          <w:p w14:paraId="75F84EC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7789" w:type="dxa"/>
            <w:gridSpan w:val="3"/>
            <w:tcBorders>
              <w:top w:val="nil"/>
              <w:left w:val="nil"/>
              <w:bottom w:val="nil"/>
              <w:right w:val="nil"/>
            </w:tcBorders>
            <w:shd w:val="clear" w:color="auto" w:fill="auto"/>
            <w:noWrap/>
            <w:vAlign w:val="center"/>
          </w:tcPr>
          <w:p w14:paraId="31108F96">
            <w:pPr>
              <w:keepNext w:val="0"/>
              <w:keepLines w:val="0"/>
              <w:widowControl/>
              <w:suppressLineNumbers w:val="0"/>
              <w:jc w:val="center"/>
              <w:textAlignment w:val="center"/>
              <w:rPr>
                <w:rFonts w:hint="default" w:ascii="宋体" w:hAnsi="宋体" w:eastAsia="宋体" w:cs="宋体"/>
                <w:i w:val="0"/>
                <w:iCs w:val="0"/>
                <w:color w:val="000000"/>
                <w:sz w:val="36"/>
                <w:szCs w:val="36"/>
                <w:u w:val="none"/>
                <w:lang w:val="en-US"/>
              </w:rPr>
            </w:pPr>
            <w:r>
              <w:rPr>
                <w:rFonts w:hint="eastAsia" w:ascii="方正小标宋简体" w:hAnsi="方正小标宋简体" w:eastAsia="方正小标宋简体" w:cs="方正小标宋简体"/>
                <w:i w:val="0"/>
                <w:color w:val="000000"/>
                <w:kern w:val="0"/>
                <w:sz w:val="36"/>
                <w:szCs w:val="36"/>
                <w:u w:val="none"/>
                <w:lang w:val="en-US" w:eastAsia="zh-CN" w:bidi="ar"/>
              </w:rPr>
              <w:t>森林防火卡点检查内容表</w:t>
            </w:r>
          </w:p>
        </w:tc>
      </w:tr>
      <w:tr w14:paraId="46D7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C14A">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F668">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检查类别</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56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检查内容</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72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r>
      <w:tr w14:paraId="3F7A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25" w:type="dxa"/>
            <w:vMerge w:val="restart"/>
            <w:tcBorders>
              <w:top w:val="single" w:color="000000" w:sz="4" w:space="0"/>
              <w:left w:val="single" w:color="000000" w:sz="4" w:space="0"/>
              <w:right w:val="single" w:color="000000" w:sz="4" w:space="0"/>
            </w:tcBorders>
            <w:shd w:val="clear" w:color="auto" w:fill="auto"/>
            <w:textDirection w:val="tbRlV"/>
            <w:vAlign w:val="center"/>
          </w:tcPr>
          <w:p w14:paraId="72D74C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19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市级卡点</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2FED">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1.卡点有2人以上人员值守；</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70C8">
            <w:pPr>
              <w:rPr>
                <w:rFonts w:hint="eastAsia" w:ascii="宋体" w:hAnsi="宋体" w:eastAsia="宋体" w:cs="宋体"/>
                <w:i w:val="0"/>
                <w:iCs w:val="0"/>
                <w:color w:val="000000"/>
                <w:sz w:val="24"/>
                <w:szCs w:val="24"/>
                <w:u w:val="none"/>
              </w:rPr>
            </w:pPr>
          </w:p>
        </w:tc>
      </w:tr>
      <w:tr w14:paraId="565A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25" w:type="dxa"/>
            <w:vMerge w:val="continue"/>
            <w:tcBorders>
              <w:left w:val="single" w:color="000000" w:sz="4" w:space="0"/>
              <w:right w:val="single" w:color="000000" w:sz="4" w:space="0"/>
            </w:tcBorders>
            <w:shd w:val="clear" w:color="auto" w:fill="auto"/>
            <w:textDirection w:val="tbRlV"/>
            <w:vAlign w:val="center"/>
          </w:tcPr>
          <w:p w14:paraId="4909E513">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990AE">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5E5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2.卡点值守人员统一着装（防火服、防火袖标、防火背心等）；</w:t>
            </w:r>
            <w:bookmarkStart w:id="0" w:name="_GoBack"/>
            <w:bookmarkEnd w:id="0"/>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F195">
            <w:pPr>
              <w:rPr>
                <w:rFonts w:hint="eastAsia" w:ascii="宋体" w:hAnsi="宋体" w:eastAsia="宋体" w:cs="宋体"/>
                <w:i w:val="0"/>
                <w:iCs w:val="0"/>
                <w:color w:val="000000"/>
                <w:sz w:val="24"/>
                <w:szCs w:val="24"/>
                <w:u w:val="none"/>
              </w:rPr>
            </w:pPr>
          </w:p>
        </w:tc>
      </w:tr>
      <w:tr w14:paraId="2A65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25" w:type="dxa"/>
            <w:vMerge w:val="continue"/>
            <w:tcBorders>
              <w:left w:val="single" w:color="000000" w:sz="4" w:space="0"/>
              <w:right w:val="single" w:color="000000" w:sz="4" w:space="0"/>
            </w:tcBorders>
            <w:shd w:val="clear" w:color="auto" w:fill="auto"/>
            <w:textDirection w:val="tbRlV"/>
            <w:vAlign w:val="center"/>
          </w:tcPr>
          <w:p w14:paraId="7A01928E">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A04224">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7E6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3.森林防火卡点应设置在林区、景区、坟区等重要防火区域进（出）山路口；</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9EC9">
            <w:pPr>
              <w:rPr>
                <w:rFonts w:hint="eastAsia" w:ascii="宋体" w:hAnsi="宋体" w:eastAsia="宋体" w:cs="宋体"/>
                <w:i w:val="0"/>
                <w:iCs w:val="0"/>
                <w:color w:val="000000"/>
                <w:sz w:val="24"/>
                <w:szCs w:val="24"/>
                <w:u w:val="none"/>
              </w:rPr>
            </w:pPr>
          </w:p>
        </w:tc>
      </w:tr>
      <w:tr w14:paraId="121A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25" w:type="dxa"/>
            <w:vMerge w:val="continue"/>
            <w:tcBorders>
              <w:left w:val="single" w:color="000000" w:sz="4" w:space="0"/>
              <w:right w:val="single" w:color="000000" w:sz="4" w:space="0"/>
            </w:tcBorders>
            <w:shd w:val="clear" w:color="auto" w:fill="auto"/>
            <w:textDirection w:val="tbRlV"/>
            <w:vAlign w:val="center"/>
          </w:tcPr>
          <w:p w14:paraId="4CDDD1E9">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62373F">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9BE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4.放置市级卡点统一标识牌；</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2211">
            <w:pPr>
              <w:rPr>
                <w:rFonts w:hint="eastAsia" w:ascii="宋体" w:hAnsi="宋体" w:eastAsia="宋体" w:cs="宋体"/>
                <w:i w:val="0"/>
                <w:iCs w:val="0"/>
                <w:color w:val="000000"/>
                <w:sz w:val="24"/>
                <w:szCs w:val="24"/>
                <w:u w:val="none"/>
              </w:rPr>
            </w:pPr>
          </w:p>
        </w:tc>
      </w:tr>
      <w:tr w14:paraId="18D6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25" w:type="dxa"/>
            <w:vMerge w:val="continue"/>
            <w:tcBorders>
              <w:left w:val="single" w:color="000000" w:sz="4" w:space="0"/>
              <w:right w:val="single" w:color="000000" w:sz="4" w:space="0"/>
            </w:tcBorders>
            <w:shd w:val="clear" w:color="auto" w:fill="auto"/>
            <w:textDirection w:val="tbRlV"/>
            <w:vAlign w:val="center"/>
          </w:tcPr>
          <w:p w14:paraId="3E631A5A">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36025A">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73D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5.卡点配置座椅；</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8CB8">
            <w:pPr>
              <w:rPr>
                <w:rFonts w:hint="eastAsia" w:ascii="宋体" w:hAnsi="宋体" w:eastAsia="宋体" w:cs="宋体"/>
                <w:i w:val="0"/>
                <w:iCs w:val="0"/>
                <w:color w:val="000000"/>
                <w:sz w:val="24"/>
                <w:szCs w:val="24"/>
                <w:u w:val="none"/>
              </w:rPr>
            </w:pPr>
          </w:p>
        </w:tc>
      </w:tr>
      <w:tr w14:paraId="1DEE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25" w:type="dxa"/>
            <w:vMerge w:val="continue"/>
            <w:tcBorders>
              <w:left w:val="single" w:color="000000" w:sz="4" w:space="0"/>
              <w:right w:val="single" w:color="000000" w:sz="4" w:space="0"/>
            </w:tcBorders>
            <w:shd w:val="clear" w:color="auto" w:fill="auto"/>
            <w:textDirection w:val="tbRlV"/>
            <w:vAlign w:val="center"/>
          </w:tcPr>
          <w:p w14:paraId="7F6402E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6659B5">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2139">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6.森林防火宣传小喇叭，森林防火宣传资料（包含林长令、禁火令等）、张贴宣传资料或悬挂横幅；</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5D82">
            <w:pPr>
              <w:rPr>
                <w:rFonts w:hint="eastAsia" w:ascii="宋体" w:hAnsi="宋体" w:eastAsia="宋体" w:cs="宋体"/>
                <w:i w:val="0"/>
                <w:iCs w:val="0"/>
                <w:color w:val="000000"/>
                <w:sz w:val="24"/>
                <w:szCs w:val="24"/>
                <w:u w:val="none"/>
              </w:rPr>
            </w:pPr>
          </w:p>
        </w:tc>
      </w:tr>
      <w:tr w14:paraId="7B94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25" w:type="dxa"/>
            <w:vMerge w:val="continue"/>
            <w:tcBorders>
              <w:left w:val="single" w:color="000000" w:sz="4" w:space="0"/>
              <w:right w:val="single" w:color="000000" w:sz="4" w:space="0"/>
            </w:tcBorders>
            <w:shd w:val="clear" w:color="auto" w:fill="auto"/>
            <w:textDirection w:val="tbRlV"/>
            <w:vAlign w:val="center"/>
          </w:tcPr>
          <w:p w14:paraId="0E200ED1">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2999D1">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FEF6">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7.进出山人员登记本；</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7E13">
            <w:pPr>
              <w:rPr>
                <w:rFonts w:hint="eastAsia" w:ascii="宋体" w:hAnsi="宋体" w:eastAsia="宋体" w:cs="宋体"/>
                <w:i w:val="0"/>
                <w:iCs w:val="0"/>
                <w:color w:val="000000"/>
                <w:sz w:val="24"/>
                <w:szCs w:val="24"/>
                <w:u w:val="none"/>
              </w:rPr>
            </w:pPr>
          </w:p>
        </w:tc>
      </w:tr>
      <w:tr w14:paraId="729B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25" w:type="dxa"/>
            <w:vMerge w:val="continue"/>
            <w:tcBorders>
              <w:left w:val="single" w:color="000000" w:sz="4" w:space="0"/>
              <w:right w:val="single" w:color="000000" w:sz="4" w:space="0"/>
            </w:tcBorders>
            <w:shd w:val="clear" w:color="auto" w:fill="auto"/>
            <w:textDirection w:val="tbRlV"/>
            <w:vAlign w:val="center"/>
          </w:tcPr>
          <w:p w14:paraId="03B5EF5A">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E6BAF5">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95C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8.火源收缴箱；</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A49B">
            <w:pPr>
              <w:rPr>
                <w:rFonts w:hint="eastAsia" w:ascii="宋体" w:hAnsi="宋体" w:eastAsia="宋体" w:cs="宋体"/>
                <w:i w:val="0"/>
                <w:iCs w:val="0"/>
                <w:color w:val="000000"/>
                <w:sz w:val="24"/>
                <w:szCs w:val="24"/>
                <w:u w:val="none"/>
              </w:rPr>
            </w:pPr>
          </w:p>
        </w:tc>
      </w:tr>
      <w:tr w14:paraId="7AE1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25" w:type="dxa"/>
            <w:vMerge w:val="continue"/>
            <w:tcBorders>
              <w:left w:val="single" w:color="000000" w:sz="4" w:space="0"/>
              <w:bottom w:val="single" w:color="000000" w:sz="4" w:space="0"/>
              <w:right w:val="single" w:color="000000" w:sz="4" w:space="0"/>
            </w:tcBorders>
            <w:shd w:val="clear" w:color="auto" w:fill="auto"/>
            <w:textDirection w:val="tbRlV"/>
            <w:vAlign w:val="center"/>
          </w:tcPr>
          <w:p w14:paraId="5E7C1063">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D397A7">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852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9.必要的扑火工具（2号工具）。</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492F">
            <w:pPr>
              <w:rPr>
                <w:rFonts w:hint="eastAsia" w:ascii="宋体" w:hAnsi="宋体" w:eastAsia="宋体" w:cs="宋体"/>
                <w:i w:val="0"/>
                <w:iCs w:val="0"/>
                <w:color w:val="000000"/>
                <w:sz w:val="24"/>
                <w:szCs w:val="24"/>
                <w:u w:val="none"/>
              </w:rPr>
            </w:pPr>
          </w:p>
        </w:tc>
      </w:tr>
      <w:tr w14:paraId="33A2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25" w:type="dxa"/>
            <w:vMerge w:val="restart"/>
            <w:tcBorders>
              <w:top w:val="single" w:color="000000" w:sz="4" w:space="0"/>
              <w:left w:val="single" w:color="000000" w:sz="4" w:space="0"/>
              <w:right w:val="single" w:color="000000" w:sz="4" w:space="0"/>
            </w:tcBorders>
            <w:shd w:val="clear" w:color="auto" w:fill="auto"/>
            <w:textDirection w:val="tbRlV"/>
            <w:vAlign w:val="center"/>
          </w:tcPr>
          <w:p w14:paraId="5F1AC47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00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临时卡点</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143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1.卡点有2人以上人员值守；</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F4DA">
            <w:pPr>
              <w:rPr>
                <w:rFonts w:hint="eastAsia" w:ascii="宋体" w:hAnsi="宋体" w:eastAsia="宋体" w:cs="宋体"/>
                <w:i w:val="0"/>
                <w:iCs w:val="0"/>
                <w:color w:val="000000"/>
                <w:sz w:val="24"/>
                <w:szCs w:val="24"/>
                <w:u w:val="none"/>
              </w:rPr>
            </w:pPr>
          </w:p>
        </w:tc>
      </w:tr>
      <w:tr w14:paraId="3EE1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25" w:type="dxa"/>
            <w:vMerge w:val="continue"/>
            <w:tcBorders>
              <w:left w:val="single" w:color="000000" w:sz="4" w:space="0"/>
              <w:right w:val="single" w:color="000000" w:sz="4" w:space="0"/>
            </w:tcBorders>
            <w:shd w:val="clear" w:color="auto" w:fill="auto"/>
            <w:textDirection w:val="tbRlV"/>
            <w:vAlign w:val="center"/>
          </w:tcPr>
          <w:p w14:paraId="30EBAFC5">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2A4910">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08B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2.卡点值守人员佩戴防火袖标。</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3CC5">
            <w:pPr>
              <w:rPr>
                <w:rFonts w:hint="eastAsia" w:ascii="宋体" w:hAnsi="宋体" w:eastAsia="宋体" w:cs="宋体"/>
                <w:i w:val="0"/>
                <w:iCs w:val="0"/>
                <w:color w:val="000000"/>
                <w:sz w:val="24"/>
                <w:szCs w:val="24"/>
                <w:u w:val="none"/>
              </w:rPr>
            </w:pPr>
          </w:p>
        </w:tc>
      </w:tr>
      <w:tr w14:paraId="7342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825" w:type="dxa"/>
            <w:vMerge w:val="continue"/>
            <w:tcBorders>
              <w:left w:val="single" w:color="000000" w:sz="4" w:space="0"/>
              <w:right w:val="single" w:color="000000" w:sz="4" w:space="0"/>
            </w:tcBorders>
            <w:shd w:val="clear" w:color="auto" w:fill="auto"/>
            <w:textDirection w:val="tbRlV"/>
            <w:vAlign w:val="center"/>
          </w:tcPr>
          <w:p w14:paraId="6F4519F0">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9F3F6D">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E4E7">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3.森林防火卡点应设置在林区、景区、坟区等重要防火区域进（出）山路口；</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BD38">
            <w:pPr>
              <w:rPr>
                <w:rFonts w:hint="eastAsia" w:ascii="宋体" w:hAnsi="宋体" w:eastAsia="宋体" w:cs="宋体"/>
                <w:i w:val="0"/>
                <w:iCs w:val="0"/>
                <w:color w:val="000000"/>
                <w:sz w:val="24"/>
                <w:szCs w:val="24"/>
                <w:u w:val="none"/>
              </w:rPr>
            </w:pPr>
          </w:p>
        </w:tc>
      </w:tr>
      <w:tr w14:paraId="1A57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25" w:type="dxa"/>
            <w:vMerge w:val="continue"/>
            <w:tcBorders>
              <w:left w:val="single" w:color="000000" w:sz="4" w:space="0"/>
              <w:right w:val="single" w:color="000000" w:sz="4" w:space="0"/>
            </w:tcBorders>
            <w:shd w:val="clear" w:color="auto" w:fill="auto"/>
            <w:textDirection w:val="tbRlV"/>
            <w:vAlign w:val="center"/>
          </w:tcPr>
          <w:p w14:paraId="35F38BCD">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C5DF49">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CAE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4.摆放临时卡点标识牌；</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5CEE">
            <w:pPr>
              <w:rPr>
                <w:rFonts w:hint="eastAsia" w:ascii="宋体" w:hAnsi="宋体" w:eastAsia="宋体" w:cs="宋体"/>
                <w:i w:val="0"/>
                <w:iCs w:val="0"/>
                <w:color w:val="000000"/>
                <w:sz w:val="24"/>
                <w:szCs w:val="24"/>
                <w:u w:val="none"/>
              </w:rPr>
            </w:pPr>
          </w:p>
        </w:tc>
      </w:tr>
      <w:tr w14:paraId="7487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25" w:type="dxa"/>
            <w:vMerge w:val="continue"/>
            <w:tcBorders>
              <w:left w:val="single" w:color="000000" w:sz="4" w:space="0"/>
              <w:right w:val="single" w:color="000000" w:sz="4" w:space="0"/>
            </w:tcBorders>
            <w:shd w:val="clear" w:color="auto" w:fill="auto"/>
            <w:textDirection w:val="tbRlV"/>
            <w:vAlign w:val="center"/>
          </w:tcPr>
          <w:p w14:paraId="0CC4D7CE">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E21EF1">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C48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5.卡点配置座椅；</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A5F2">
            <w:pPr>
              <w:rPr>
                <w:rFonts w:hint="eastAsia" w:ascii="宋体" w:hAnsi="宋体" w:eastAsia="宋体" w:cs="宋体"/>
                <w:i w:val="0"/>
                <w:iCs w:val="0"/>
                <w:color w:val="000000"/>
                <w:sz w:val="24"/>
                <w:szCs w:val="24"/>
                <w:u w:val="none"/>
              </w:rPr>
            </w:pPr>
          </w:p>
        </w:tc>
      </w:tr>
      <w:tr w14:paraId="7DC9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25" w:type="dxa"/>
            <w:vMerge w:val="continue"/>
            <w:tcBorders>
              <w:left w:val="single" w:color="000000" w:sz="4" w:space="0"/>
              <w:right w:val="single" w:color="000000" w:sz="4" w:space="0"/>
            </w:tcBorders>
            <w:shd w:val="clear" w:color="auto" w:fill="auto"/>
            <w:textDirection w:val="tbRlV"/>
            <w:vAlign w:val="center"/>
          </w:tcPr>
          <w:p w14:paraId="712CD0B3">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073AA">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AC5B">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6.森林防火宣传小喇叭，森林防火宣传资料（包含林长令、禁火令等）、张贴宣传资料或悬挂横幅；</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7C77">
            <w:pPr>
              <w:rPr>
                <w:rFonts w:hint="eastAsia" w:ascii="宋体" w:hAnsi="宋体" w:eastAsia="宋体" w:cs="宋体"/>
                <w:i w:val="0"/>
                <w:iCs w:val="0"/>
                <w:color w:val="000000"/>
                <w:sz w:val="24"/>
                <w:szCs w:val="24"/>
                <w:u w:val="none"/>
              </w:rPr>
            </w:pPr>
          </w:p>
        </w:tc>
      </w:tr>
      <w:tr w14:paraId="35BE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25" w:type="dxa"/>
            <w:vMerge w:val="continue"/>
            <w:tcBorders>
              <w:left w:val="single" w:color="000000" w:sz="4" w:space="0"/>
              <w:right w:val="single" w:color="000000" w:sz="4" w:space="0"/>
            </w:tcBorders>
            <w:shd w:val="clear" w:color="auto" w:fill="auto"/>
            <w:textDirection w:val="tbRlV"/>
            <w:vAlign w:val="center"/>
          </w:tcPr>
          <w:p w14:paraId="076E2F1D">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448011">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086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7.进出山人员登记本；</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63AA">
            <w:pPr>
              <w:rPr>
                <w:rFonts w:hint="eastAsia" w:ascii="宋体" w:hAnsi="宋体" w:eastAsia="宋体" w:cs="宋体"/>
                <w:i w:val="0"/>
                <w:iCs w:val="0"/>
                <w:color w:val="000000"/>
                <w:sz w:val="24"/>
                <w:szCs w:val="24"/>
                <w:u w:val="none"/>
              </w:rPr>
            </w:pPr>
          </w:p>
        </w:tc>
      </w:tr>
      <w:tr w14:paraId="4335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25" w:type="dxa"/>
            <w:vMerge w:val="continue"/>
            <w:tcBorders>
              <w:left w:val="single" w:color="000000" w:sz="4" w:space="0"/>
              <w:bottom w:val="single" w:color="000000" w:sz="4" w:space="0"/>
              <w:right w:val="single" w:color="000000" w:sz="4" w:space="0"/>
            </w:tcBorders>
            <w:shd w:val="clear" w:color="auto" w:fill="auto"/>
            <w:textDirection w:val="tbRlV"/>
            <w:vAlign w:val="center"/>
          </w:tcPr>
          <w:p w14:paraId="3058C13B">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CB8AE2">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9EEF">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8.火源收缴箱。</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882A">
            <w:pPr>
              <w:rPr>
                <w:rFonts w:hint="eastAsia" w:ascii="宋体" w:hAnsi="宋体" w:eastAsia="宋体" w:cs="宋体"/>
                <w:i w:val="0"/>
                <w:iCs w:val="0"/>
                <w:color w:val="000000"/>
                <w:sz w:val="24"/>
                <w:szCs w:val="24"/>
                <w:u w:val="none"/>
              </w:rPr>
            </w:pPr>
          </w:p>
        </w:tc>
      </w:tr>
      <w:tr w14:paraId="417E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25" w:type="dxa"/>
            <w:vMerge w:val="restart"/>
            <w:tcBorders>
              <w:top w:val="single" w:color="000000" w:sz="4" w:space="0"/>
              <w:left w:val="single" w:color="000000" w:sz="4" w:space="0"/>
              <w:right w:val="single" w:color="000000" w:sz="4" w:space="0"/>
            </w:tcBorders>
            <w:shd w:val="clear" w:color="auto" w:fill="auto"/>
            <w:textDirection w:val="tbRlV"/>
            <w:vAlign w:val="center"/>
          </w:tcPr>
          <w:p w14:paraId="673E65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2B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值守人员职责</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D8EE">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1.卡点值守人员应知晓森林防火禁火令内容，掌握值守区域的林情和周围重点场所、设施等；</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6B47">
            <w:pPr>
              <w:rPr>
                <w:rFonts w:hint="eastAsia" w:ascii="宋体" w:hAnsi="宋体" w:eastAsia="宋体" w:cs="宋体"/>
                <w:i w:val="0"/>
                <w:iCs w:val="0"/>
                <w:color w:val="000000"/>
                <w:sz w:val="24"/>
                <w:szCs w:val="24"/>
                <w:u w:val="none"/>
              </w:rPr>
            </w:pPr>
          </w:p>
        </w:tc>
      </w:tr>
      <w:tr w14:paraId="1D9B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825" w:type="dxa"/>
            <w:vMerge w:val="continue"/>
            <w:tcBorders>
              <w:left w:val="single" w:color="000000" w:sz="4" w:space="0"/>
              <w:right w:val="single" w:color="000000" w:sz="4" w:space="0"/>
            </w:tcBorders>
            <w:shd w:val="clear" w:color="auto" w:fill="auto"/>
            <w:textDirection w:val="tbRlV"/>
            <w:vAlign w:val="center"/>
          </w:tcPr>
          <w:p w14:paraId="29F81EDD">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D4CDE5">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BC70">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2.卡点值守人员应对过往车辆、人员信息进行登记、记录和检查，向过往车辆、人员告知卡点检查规定，宣传森林防火相关法律法规；</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C025">
            <w:pPr>
              <w:rPr>
                <w:rFonts w:hint="eastAsia" w:ascii="宋体" w:hAnsi="宋体" w:eastAsia="宋体" w:cs="宋体"/>
                <w:i w:val="0"/>
                <w:iCs w:val="0"/>
                <w:color w:val="000000"/>
                <w:sz w:val="24"/>
                <w:szCs w:val="24"/>
                <w:u w:val="none"/>
              </w:rPr>
            </w:pPr>
          </w:p>
        </w:tc>
      </w:tr>
      <w:tr w14:paraId="08D7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825" w:type="dxa"/>
            <w:vMerge w:val="continue"/>
            <w:tcBorders>
              <w:left w:val="single" w:color="000000" w:sz="4" w:space="0"/>
              <w:bottom w:val="single" w:color="000000" w:sz="4" w:space="0"/>
              <w:right w:val="single" w:color="000000" w:sz="4" w:space="0"/>
            </w:tcBorders>
            <w:shd w:val="clear" w:color="auto" w:fill="auto"/>
            <w:textDirection w:val="tbRlV"/>
            <w:vAlign w:val="center"/>
          </w:tcPr>
          <w:p w14:paraId="4439ED50">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5F74DB">
            <w:pPr>
              <w:jc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1365">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3.卡点值守人员应检查过往车辆、人员是否携带火源（火种）、易燃易爆品，并劝阻禁止携带进入林区。</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A8FC">
            <w:pPr>
              <w:rPr>
                <w:rFonts w:hint="eastAsia" w:ascii="宋体" w:hAnsi="宋体" w:eastAsia="宋体" w:cs="宋体"/>
                <w:i w:val="0"/>
                <w:iCs w:val="0"/>
                <w:color w:val="000000"/>
                <w:sz w:val="24"/>
                <w:szCs w:val="24"/>
                <w:u w:val="none"/>
              </w:rPr>
            </w:pPr>
          </w:p>
        </w:tc>
      </w:tr>
    </w:tbl>
    <w:p w14:paraId="1C4FFF6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55A0F"/>
    <w:rsid w:val="04365714"/>
    <w:rsid w:val="08BF14BF"/>
    <w:rsid w:val="0E5429B7"/>
    <w:rsid w:val="16181992"/>
    <w:rsid w:val="209802A0"/>
    <w:rsid w:val="212940E5"/>
    <w:rsid w:val="26843162"/>
    <w:rsid w:val="357A4684"/>
    <w:rsid w:val="36143CB8"/>
    <w:rsid w:val="36544868"/>
    <w:rsid w:val="388F02F3"/>
    <w:rsid w:val="40455A0F"/>
    <w:rsid w:val="42F565EF"/>
    <w:rsid w:val="47060096"/>
    <w:rsid w:val="4B1E0248"/>
    <w:rsid w:val="4FBF0F4D"/>
    <w:rsid w:val="516C0C53"/>
    <w:rsid w:val="59A2115A"/>
    <w:rsid w:val="6A0772A5"/>
    <w:rsid w:val="739C185F"/>
    <w:rsid w:val="745E340D"/>
    <w:rsid w:val="798874B0"/>
    <w:rsid w:val="7B5D3A3E"/>
    <w:rsid w:val="7DA41DE8"/>
    <w:rsid w:val="7DDF7835"/>
    <w:rsid w:val="7F5050BA"/>
    <w:rsid w:val="CFEBCDA4"/>
    <w:rsid w:val="EBFD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公1"/>
    <w:basedOn w:val="6"/>
    <w:next w:val="1"/>
    <w:qFormat/>
    <w:uiPriority w:val="0"/>
    <w:pPr>
      <w:ind w:firstLine="200" w:firstLineChars="200"/>
    </w:pPr>
  </w:style>
  <w:style w:type="paragraph" w:customStyle="1" w:styleId="6">
    <w:name w:val="正文1"/>
    <w:next w:val="5"/>
    <w:qFormat/>
    <w:uiPriority w:val="0"/>
    <w:pPr>
      <w:jc w:val="both"/>
    </w:pPr>
    <w:rPr>
      <w:rFonts w:ascii="Calibri" w:hAnsi="Calibri" w:eastAsia="宋体" w:cs="黑体"/>
      <w:sz w:val="21"/>
      <w:szCs w:val="22"/>
      <w:lang w:val="en-US" w:eastAsia="zh-CN" w:bidi="ar-SA"/>
    </w:rPr>
  </w:style>
  <w:style w:type="character" w:customStyle="1" w:styleId="7">
    <w:name w:val="NormalCharacter"/>
    <w:link w:val="8"/>
    <w:qFormat/>
    <w:uiPriority w:val="0"/>
    <w:rPr>
      <w:color w:val="000000"/>
    </w:rPr>
  </w:style>
  <w:style w:type="paragraph" w:customStyle="1" w:styleId="8">
    <w:name w:val="UserStyle_22"/>
    <w:basedOn w:val="1"/>
    <w:link w:val="7"/>
    <w:qFormat/>
    <w:uiPriority w:val="0"/>
    <w:pPr>
      <w:spacing w:after="160" w:line="240" w:lineRule="exact"/>
      <w:jc w:val="left"/>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1624</Words>
  <Characters>1668</Characters>
  <Lines>0</Lines>
  <Paragraphs>0</Paragraphs>
  <TotalTime>2</TotalTime>
  <ScaleCrop>false</ScaleCrop>
  <LinksUpToDate>false</LinksUpToDate>
  <CharactersWithSpaces>1668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2024-01-17T23:17:00Z</dcterms:created>
  <dc:creator>子岳</dc:creator>
  <cp:lastModifiedBy>你憋说话</cp:lastModifiedBy>
  <cp:lastPrinted>2025-01-23T18:41:00Z</cp:lastPrinted>
  <dcterms:modified xsi:type="dcterms:W3CDTF">2025-02-14T06:44:34Z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78A6C40548514E9147E996677E70B7EA</vt:lpwstr>
  </property>
  <property fmtid="{D5CDD505-2E9C-101B-9397-08002B2CF9AE}" pid="4" name="KSOTemplateDocerSaveRecord">
    <vt:lpwstr>eyJoZGlkIjoiNjdlOGQ5MjYxYTRmNGFjYjg5YmRjZTdhZDcyMGQ2MDEiLCJ1c2VySWQiOiI2NDIxMTg0NzUifQ==</vt:lpwstr>
  </property>
</Properties>
</file>