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color w:val="000000"/>
          <w:sz w:val="44"/>
          <w:szCs w:val="44"/>
        </w:rPr>
      </w:pPr>
    </w:p>
    <w:p>
      <w:pPr>
        <w:spacing w:line="560"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贵阳市城市规划管理技术规定（试行）</w:t>
      </w:r>
    </w:p>
    <w:p>
      <w:pPr>
        <w:spacing w:line="560" w:lineRule="exact"/>
        <w:jc w:val="center"/>
        <w:rPr>
          <w:rFonts w:ascii="仿宋_GB2312" w:eastAsia="仿宋_GB2312" w:cs="仿宋_GB2312"/>
          <w:sz w:val="32"/>
          <w:szCs w:val="32"/>
        </w:rPr>
      </w:pPr>
    </w:p>
    <w:p>
      <w:pPr>
        <w:spacing w:line="560" w:lineRule="exact"/>
        <w:ind w:firstLine="640" w:firstLineChars="200"/>
        <w:jc w:val="left"/>
        <w:rPr>
          <w:rFonts w:ascii="仿宋_GB2312" w:eastAsia="仿宋_GB2312" w:cs="仿宋_GB2312"/>
          <w:sz w:val="32"/>
          <w:szCs w:val="32"/>
        </w:rPr>
      </w:pPr>
      <w:bookmarkStart w:id="0" w:name="_Hlk157090088"/>
      <w:r>
        <w:rPr>
          <w:rFonts w:hint="eastAsia" w:ascii="仿宋_GB2312" w:eastAsia="仿宋_GB2312" w:cs="仿宋_GB2312"/>
          <w:sz w:val="32"/>
          <w:szCs w:val="32"/>
        </w:rPr>
        <w:t>为切实加强我市城市规划管控，协调空间布局，确保规划有序、有效实施，根据《中华人民共和国城乡规划法》《贵州省城乡规划条例》等法律、法规的规定，</w:t>
      </w:r>
      <w:r>
        <w:rPr>
          <w:rFonts w:ascii="仿宋_GB2312" w:eastAsia="仿宋_GB2312" w:cs="仿宋_GB2312"/>
          <w:sz w:val="32"/>
          <w:szCs w:val="32"/>
        </w:rPr>
        <w:t>为补充完善</w:t>
      </w:r>
      <w:r>
        <w:rPr>
          <w:rFonts w:hint="eastAsia" w:ascii="仿宋_GB2312" w:eastAsia="仿宋_GB2312" w:cs="仿宋_GB2312"/>
          <w:sz w:val="32"/>
          <w:szCs w:val="32"/>
        </w:rPr>
        <w:t>《贵阳市城市规划技术管理办法》内容，结合贵阳市实际制定本规定。</w:t>
      </w:r>
      <w:bookmarkEnd w:id="0"/>
    </w:p>
    <w:p>
      <w:pPr>
        <w:spacing w:line="560" w:lineRule="exact"/>
        <w:ind w:firstLine="640" w:firstLineChars="200"/>
        <w:rPr>
          <w:rFonts w:ascii="仿宋_GB2312" w:eastAsia="仿宋_GB2312" w:cs="仿宋_GB2312"/>
          <w:sz w:val="32"/>
          <w:szCs w:val="32"/>
        </w:rPr>
      </w:pPr>
    </w:p>
    <w:p>
      <w:pPr>
        <w:spacing w:line="560" w:lineRule="exact"/>
        <w:ind w:firstLine="643"/>
        <w:jc w:val="center"/>
        <w:rPr>
          <w:rFonts w:ascii="黑体" w:eastAsia="黑体" w:cs="仿宋_GB2312"/>
          <w:bCs/>
          <w:sz w:val="32"/>
          <w:szCs w:val="32"/>
        </w:rPr>
      </w:pPr>
      <w:r>
        <w:rPr>
          <w:rFonts w:hint="eastAsia" w:ascii="黑体" w:eastAsia="黑体" w:cs="仿宋_GB2312"/>
          <w:bCs/>
          <w:sz w:val="32"/>
          <w:szCs w:val="32"/>
        </w:rPr>
        <w:t xml:space="preserve">第一章 </w:t>
      </w:r>
      <w:r>
        <w:rPr>
          <w:rFonts w:ascii="黑体" w:eastAsia="黑体" w:cs="仿宋_GB2312"/>
          <w:bCs/>
          <w:sz w:val="32"/>
          <w:szCs w:val="32"/>
        </w:rPr>
        <w:t xml:space="preserve"> </w:t>
      </w:r>
      <w:r>
        <w:rPr>
          <w:rFonts w:hint="eastAsia" w:ascii="黑体" w:eastAsia="黑体" w:cs="仿宋_GB2312"/>
          <w:bCs/>
          <w:sz w:val="32"/>
          <w:szCs w:val="32"/>
        </w:rPr>
        <w:t>导则</w:t>
      </w:r>
    </w:p>
    <w:p>
      <w:pPr>
        <w:spacing w:line="560" w:lineRule="exact"/>
        <w:ind w:firstLine="640" w:firstLineChars="200"/>
        <w:rPr>
          <w:rFonts w:ascii="仿宋_GB2312" w:eastAsia="仿宋_GB2312" w:cs="仿宋_GB2312"/>
          <w:sz w:val="32"/>
          <w:szCs w:val="32"/>
        </w:rPr>
      </w:pPr>
      <w:r>
        <w:rPr>
          <w:rFonts w:hint="eastAsia" w:ascii="黑体" w:eastAsia="黑体" w:cs="仿宋_GB2312"/>
          <w:bCs/>
          <w:sz w:val="32"/>
          <w:szCs w:val="32"/>
        </w:rPr>
        <w:t>第一条</w:t>
      </w:r>
      <w:r>
        <w:rPr>
          <w:rFonts w:hint="eastAsia" w:ascii="仿宋_GB2312" w:eastAsia="仿宋_GB2312" w:cs="仿宋_GB2312"/>
          <w:sz w:val="32"/>
          <w:szCs w:val="32"/>
        </w:rPr>
        <w:t xml:space="preserve"> 编制详细规划，容积率、建筑密度按照附表1的规定执行。</w:t>
      </w:r>
    </w:p>
    <w:p>
      <w:pPr>
        <w:spacing w:line="560" w:lineRule="exact"/>
        <w:ind w:firstLine="640" w:firstLineChars="200"/>
        <w:rPr>
          <w:rFonts w:ascii="仿宋_GB2312" w:eastAsia="仿宋_GB2312" w:cs="仿宋_GB2312"/>
          <w:sz w:val="32"/>
          <w:szCs w:val="32"/>
        </w:rPr>
      </w:pPr>
      <w:r>
        <w:rPr>
          <w:rFonts w:hint="eastAsia" w:ascii="黑体" w:eastAsia="黑体" w:cs="仿宋_GB2312"/>
          <w:bCs/>
          <w:sz w:val="32"/>
          <w:szCs w:val="32"/>
        </w:rPr>
        <w:t>第二条</w:t>
      </w:r>
      <w:r>
        <w:rPr>
          <w:rFonts w:hint="eastAsia" w:ascii="仿宋_GB2312" w:eastAsia="仿宋_GB2312" w:cs="仿宋_GB2312"/>
          <w:sz w:val="32"/>
          <w:szCs w:val="32"/>
        </w:rPr>
        <w:t xml:space="preserve"> 地上建筑、半地下建筑、地下建筑详见附图1。</w:t>
      </w:r>
    </w:p>
    <w:p>
      <w:pPr>
        <w:spacing w:line="560" w:lineRule="exact"/>
        <w:ind w:firstLine="640" w:firstLineChars="200"/>
        <w:rPr>
          <w:rFonts w:ascii="仿宋_GB2312" w:eastAsia="仿宋_GB2312" w:cs="仿宋_GB2312"/>
          <w:sz w:val="32"/>
          <w:szCs w:val="32"/>
        </w:rPr>
      </w:pPr>
      <w:r>
        <w:rPr>
          <w:rFonts w:hint="eastAsia" w:ascii="黑体" w:eastAsia="黑体" w:cs="仿宋_GB2312"/>
          <w:bCs/>
          <w:sz w:val="32"/>
          <w:szCs w:val="32"/>
        </w:rPr>
        <w:t>第三条</w:t>
      </w:r>
      <w:r>
        <w:rPr>
          <w:rFonts w:hint="eastAsia" w:ascii="仿宋_GB2312" w:eastAsia="仿宋_GB2312" w:cs="仿宋_GB2312"/>
          <w:sz w:val="32"/>
          <w:szCs w:val="32"/>
        </w:rPr>
        <w:t xml:space="preserve"> 建筑面积的计算按照国家现行有关标准规范执行，国家标准规范没有规定的，按照附录（计算规则）的规定执行。</w:t>
      </w:r>
    </w:p>
    <w:p>
      <w:pPr>
        <w:spacing w:line="560" w:lineRule="exact"/>
        <w:ind w:firstLine="640" w:firstLineChars="200"/>
        <w:rPr>
          <w:rFonts w:ascii="仿宋_GB2312" w:eastAsia="仿宋_GB2312" w:cs="仿宋_GB2312"/>
          <w:sz w:val="32"/>
          <w:szCs w:val="32"/>
        </w:rPr>
      </w:pPr>
      <w:r>
        <w:rPr>
          <w:rFonts w:hint="eastAsia" w:ascii="黑体" w:eastAsia="黑体" w:cs="仿宋_GB2312"/>
          <w:bCs/>
          <w:sz w:val="32"/>
          <w:szCs w:val="32"/>
        </w:rPr>
        <w:t>第四条</w:t>
      </w:r>
      <w:r>
        <w:rPr>
          <w:rFonts w:hint="eastAsia" w:ascii="仿宋_GB2312" w:eastAsia="仿宋_GB2312" w:cs="仿宋_GB2312"/>
          <w:sz w:val="32"/>
          <w:szCs w:val="32"/>
        </w:rPr>
        <w:t xml:space="preserve"> 建筑密度的计算规则按照附录（计算规则）的规定执行。</w:t>
      </w:r>
    </w:p>
    <w:p>
      <w:pPr>
        <w:spacing w:line="560" w:lineRule="exact"/>
        <w:ind w:firstLine="640" w:firstLineChars="200"/>
        <w:rPr>
          <w:rFonts w:ascii="仿宋_GB2312" w:eastAsia="仿宋_GB2312" w:cs="仿宋_GB2312"/>
          <w:sz w:val="32"/>
          <w:szCs w:val="32"/>
        </w:rPr>
      </w:pPr>
      <w:r>
        <w:rPr>
          <w:rFonts w:hint="eastAsia" w:ascii="黑体" w:eastAsia="黑体" w:cs="仿宋_GB2312"/>
          <w:bCs/>
          <w:sz w:val="32"/>
          <w:szCs w:val="32"/>
        </w:rPr>
        <w:t xml:space="preserve">第五条 </w:t>
      </w:r>
      <w:r>
        <w:rPr>
          <w:rFonts w:hint="eastAsia" w:ascii="仿宋_GB2312" w:eastAsia="仿宋_GB2312" w:cs="仿宋_GB2312"/>
          <w:sz w:val="32"/>
          <w:szCs w:val="32"/>
        </w:rPr>
        <w:t>建筑高度的计算规则按照附录（计算规则）的规定执行。</w:t>
      </w:r>
    </w:p>
    <w:p>
      <w:pPr>
        <w:spacing w:line="560" w:lineRule="exact"/>
        <w:ind w:firstLine="640" w:firstLineChars="200"/>
        <w:jc w:val="left"/>
        <w:rPr>
          <w:rFonts w:ascii="仿宋_GB2312" w:eastAsia="仿宋_GB2312" w:cs="仿宋_GB2312"/>
          <w:sz w:val="32"/>
          <w:szCs w:val="32"/>
        </w:rPr>
      </w:pPr>
      <w:r>
        <w:rPr>
          <w:rFonts w:hint="eastAsia" w:ascii="黑体" w:eastAsia="黑体" w:cs="仿宋_GB2312"/>
          <w:bCs/>
          <w:sz w:val="32"/>
          <w:szCs w:val="32"/>
        </w:rPr>
        <w:t>第六条</w:t>
      </w:r>
      <w:r>
        <w:rPr>
          <w:rFonts w:hint="eastAsia" w:ascii="仿宋_GB2312" w:eastAsia="仿宋_GB2312" w:cs="仿宋_GB2312"/>
          <w:sz w:val="32"/>
          <w:szCs w:val="32"/>
        </w:rPr>
        <w:t xml:space="preserve"> 绿地面积的计算规则按照附录（计算规则）的规定执行。</w:t>
      </w:r>
    </w:p>
    <w:p>
      <w:pPr>
        <w:spacing w:line="560" w:lineRule="exact"/>
        <w:ind w:firstLine="640" w:firstLineChars="200"/>
        <w:jc w:val="left"/>
        <w:rPr>
          <w:rFonts w:ascii="仿宋_GB2312" w:eastAsia="仿宋_GB2312" w:cs="仿宋_GB2312"/>
          <w:sz w:val="32"/>
          <w:szCs w:val="32"/>
        </w:rPr>
      </w:pPr>
      <w:r>
        <w:rPr>
          <w:rFonts w:hint="eastAsia" w:ascii="黑体" w:eastAsia="黑体" w:cs="仿宋_GB2312"/>
          <w:bCs/>
          <w:sz w:val="32"/>
          <w:szCs w:val="32"/>
        </w:rPr>
        <w:t>第七条</w:t>
      </w:r>
      <w:r>
        <w:rPr>
          <w:rFonts w:hint="eastAsia" w:ascii="仿宋_GB2312" w:eastAsia="仿宋_GB2312" w:cs="仿宋_GB2312"/>
          <w:sz w:val="32"/>
          <w:szCs w:val="32"/>
        </w:rPr>
        <w:t xml:space="preserve"> 建设项目停车位配建标准按照附表2的规定执行。</w:t>
      </w:r>
    </w:p>
    <w:p>
      <w:pPr>
        <w:spacing w:line="560" w:lineRule="exact"/>
        <w:ind w:firstLine="640" w:firstLineChars="200"/>
        <w:jc w:val="left"/>
        <w:rPr>
          <w:rFonts w:ascii="仿宋_GB2312" w:eastAsia="仿宋_GB2312" w:cs="仿宋_GB2312"/>
          <w:sz w:val="32"/>
          <w:szCs w:val="32"/>
        </w:rPr>
      </w:pPr>
      <w:r>
        <w:rPr>
          <w:rFonts w:hint="eastAsia" w:ascii="黑体" w:eastAsia="黑体" w:cs="仿宋_GB2312"/>
          <w:bCs/>
          <w:sz w:val="32"/>
          <w:szCs w:val="32"/>
        </w:rPr>
        <w:t>第八条</w:t>
      </w:r>
      <w:r>
        <w:rPr>
          <w:rFonts w:hint="eastAsia" w:ascii="仿宋_GB2312" w:eastAsia="仿宋_GB2312" w:cs="仿宋_GB2312"/>
          <w:sz w:val="32"/>
          <w:szCs w:val="32"/>
        </w:rPr>
        <w:t xml:space="preserve"> </w:t>
      </w:r>
      <w:bookmarkStart w:id="1" w:name="_Hlk157076778"/>
      <w:r>
        <w:rPr>
          <w:rFonts w:hint="eastAsia" w:ascii="仿宋_GB2312" w:eastAsia="仿宋_GB2312" w:cs="仿宋_GB2312"/>
          <w:sz w:val="32"/>
          <w:szCs w:val="32"/>
        </w:rPr>
        <w:t>居住用地公共管理与公共服务设施、公用设施</w:t>
      </w:r>
      <w:bookmarkEnd w:id="1"/>
      <w:r>
        <w:rPr>
          <w:rFonts w:hint="eastAsia" w:ascii="仿宋_GB2312" w:eastAsia="仿宋_GB2312" w:cs="仿宋_GB2312"/>
          <w:sz w:val="32"/>
          <w:szCs w:val="32"/>
        </w:rPr>
        <w:t>等配建标准，按照附表3的规定执行。</w:t>
      </w:r>
    </w:p>
    <w:p>
      <w:pPr>
        <w:spacing w:line="560" w:lineRule="exact"/>
        <w:ind w:firstLine="640" w:firstLineChars="200"/>
        <w:jc w:val="left"/>
        <w:rPr>
          <w:rFonts w:ascii="仿宋_GB2312" w:eastAsia="仿宋_GB2312" w:cs="仿宋_GB2312"/>
          <w:sz w:val="32"/>
          <w:szCs w:val="32"/>
        </w:rPr>
      </w:pPr>
      <w:r>
        <w:rPr>
          <w:rFonts w:hint="eastAsia" w:ascii="黑体" w:eastAsia="黑体" w:cs="仿宋_GB2312"/>
          <w:bCs/>
          <w:sz w:val="32"/>
          <w:szCs w:val="32"/>
        </w:rPr>
        <w:t>第九条</w:t>
      </w:r>
      <w:r>
        <w:rPr>
          <w:rFonts w:hint="eastAsia" w:ascii="仿宋_GB2312" w:eastAsia="仿宋_GB2312" w:cs="仿宋_GB2312"/>
          <w:sz w:val="32"/>
          <w:szCs w:val="32"/>
        </w:rPr>
        <w:t xml:space="preserve"> 日照分析参数按照附表4的规定执行。</w:t>
      </w:r>
    </w:p>
    <w:p>
      <w:pPr>
        <w:spacing w:line="560" w:lineRule="exact"/>
        <w:ind w:firstLine="640" w:firstLineChars="200"/>
        <w:jc w:val="left"/>
        <w:rPr>
          <w:rFonts w:ascii="仿宋_GB2312" w:eastAsia="仿宋_GB2312" w:cs="仿宋_GB2312"/>
          <w:sz w:val="32"/>
          <w:szCs w:val="32"/>
        </w:rPr>
      </w:pPr>
      <w:r>
        <w:rPr>
          <w:rFonts w:hint="eastAsia" w:ascii="黑体" w:eastAsia="黑体" w:cs="仿宋_GB2312"/>
          <w:bCs/>
          <w:sz w:val="32"/>
          <w:szCs w:val="32"/>
        </w:rPr>
        <w:t>第十条</w:t>
      </w:r>
      <w:r>
        <w:rPr>
          <w:rFonts w:hint="eastAsia" w:ascii="仿宋_GB2312" w:eastAsia="仿宋_GB2312" w:cs="仿宋_GB2312"/>
          <w:sz w:val="32"/>
          <w:szCs w:val="32"/>
        </w:rPr>
        <w:t xml:space="preserve"> 建筑在满足日照要求的基础上，最小间距按以下规定执行：</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（一）建筑高度不大于100米的建筑之间平行相对布置时，最小间距应满足以下规定：</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1.住宅建筑之间的最小间距按照附表5的规定执行；</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2.多层住宅纵墙平行布置时，正面间距折减可按附表6规定换算，详见附图2；</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3.多层住宅布置利用南向、东向或者南偏东、南偏西30°以内的坡地高差时，视地形高差的具体尺寸，对间距折减，折减后的间距不得小于13米；30°以内的北向坡，视地形高差的具体尺寸，等比例加大间距；</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4.公共建筑之间的最小间距按照附表7的规定执行；</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5.住宅建筑与公共建筑之间的最小间距按照附表5的规定执行。</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（二）建筑高度大于100米且小于150米的超高层公共建筑间距在附表7规定的基础上增加5米。建筑高度大于等于150米的</w:t>
      </w:r>
      <w:bookmarkStart w:id="2" w:name="_Hlk146722624"/>
      <w:r>
        <w:rPr>
          <w:rFonts w:hint="eastAsia" w:ascii="仿宋_GB2312" w:eastAsia="仿宋_GB2312" w:cs="仿宋_GB2312"/>
          <w:sz w:val="32"/>
          <w:szCs w:val="32"/>
        </w:rPr>
        <w:t>超高层建筑间距，由自然资源和规划主管部门根据具体情况确定。</w:t>
      </w:r>
      <w:bookmarkEnd w:id="2"/>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（三）住宅建筑之间纵墙或主要采光面成角度相对布置时，最小间距应满足以下规定：</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1.当两栋均为多层建筑时，详见附图3。</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（1） 纵墙对纵墙的夹角小于等于15°时，按照纵墙对纵墙的间距要求确定，最窄处间距不得小于遮挡物建筑高度的1.0倍，且不得小于13米；</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（2）纵墙对纵墙的夹角大于15°小于60°时，最窄处间距不得小于13米； </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（3）纵墙对纵墙的夹角大于等于60°小于90°时，按照山墙对纵墙间距控制，最窄处间距不得小于10米。</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2.当两栋其中至少一栋为高层建筑时，详见附图4。</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（1）两栋建筑的夹角小于等于45度时，其最小间距按平行布置控制；</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（2）两栋建筑的夹角大于45度小于等于90度时，其最小间距按垂直布置控制。</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（四）建筑之间错位布置时的最小间距按消防间距控制，详见附图5。</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五）工业、仓储建筑之间的最小间距按照消防间距控制；工业、仓储建筑与住宅建筑之间的最小间距按照附表5的规定执行，并应满足消防间距要求；工业、仓储建筑与公共建筑之间的最小间距按照附表7的规定执行，并应满足消防间距要求。</w:t>
      </w:r>
    </w:p>
    <w:p>
      <w:pPr>
        <w:spacing w:line="560" w:lineRule="exact"/>
        <w:ind w:firstLine="640" w:firstLineChars="200"/>
        <w:jc w:val="left"/>
        <w:rPr>
          <w:rFonts w:ascii="仿宋_GB2312" w:eastAsia="仿宋_GB2312" w:cs="仿宋_GB2312"/>
          <w:sz w:val="32"/>
          <w:szCs w:val="32"/>
        </w:rPr>
      </w:pPr>
      <w:r>
        <w:rPr>
          <w:rFonts w:hint="eastAsia" w:ascii="黑体" w:eastAsia="黑体" w:cs="仿宋_GB2312"/>
          <w:bCs/>
          <w:sz w:val="32"/>
          <w:szCs w:val="32"/>
        </w:rPr>
        <w:t>第十一条</w:t>
      </w:r>
      <w:r>
        <w:rPr>
          <w:rFonts w:hint="eastAsia" w:ascii="仿宋_GB2312" w:eastAsia="仿宋_GB2312" w:cs="仿宋_GB2312"/>
          <w:sz w:val="32"/>
          <w:szCs w:val="32"/>
        </w:rPr>
        <w:t xml:space="preserve"> 建筑平面不规则的，以各立面宽度与其延长线形成的剖面宽度之和为建筑间距计算面宽，并按照本规定分别确定其最小间距。</w:t>
      </w:r>
    </w:p>
    <w:p>
      <w:pPr>
        <w:spacing w:line="560" w:lineRule="exact"/>
        <w:ind w:firstLine="640" w:firstLineChars="200"/>
        <w:jc w:val="left"/>
        <w:rPr>
          <w:rFonts w:ascii="仿宋_GB2312" w:eastAsia="仿宋_GB2312" w:cs="仿宋_GB2312"/>
          <w:sz w:val="32"/>
          <w:szCs w:val="32"/>
        </w:rPr>
      </w:pPr>
      <w:r>
        <w:rPr>
          <w:rFonts w:hint="eastAsia" w:ascii="黑体" w:eastAsia="黑体" w:cs="仿宋_GB2312"/>
          <w:bCs/>
          <w:sz w:val="32"/>
          <w:szCs w:val="32"/>
        </w:rPr>
        <w:t>第十二条</w:t>
      </w:r>
      <w:r>
        <w:rPr>
          <w:rFonts w:hint="eastAsia" w:ascii="仿宋_GB2312" w:eastAsia="仿宋_GB2312" w:cs="仿宋_GB2312"/>
          <w:sz w:val="32"/>
          <w:szCs w:val="32"/>
        </w:rPr>
        <w:t xml:space="preserve"> 建筑高度大于24米的单层公共建筑与相邻建筑的最小间距，按照本规定的高层公共建筑与相邻建筑最小间距的规定确定。建筑高度小于等于24米的高层建筑裙房与相邻建筑的最小间距，按照本规定中对多层公共建筑与相邻建筑最小间距的规定确定。</w:t>
      </w:r>
    </w:p>
    <w:p>
      <w:pPr>
        <w:spacing w:line="560" w:lineRule="exact"/>
        <w:ind w:firstLine="640" w:firstLineChars="200"/>
        <w:jc w:val="left"/>
        <w:rPr>
          <w:rFonts w:ascii="仿宋_GB2312" w:eastAsia="仿宋_GB2312" w:cs="仿宋_GB2312"/>
          <w:sz w:val="32"/>
          <w:szCs w:val="32"/>
        </w:rPr>
      </w:pPr>
      <w:r>
        <w:rPr>
          <w:rFonts w:hint="eastAsia" w:ascii="黑体" w:eastAsia="黑体" w:cs="仿宋_GB2312"/>
          <w:bCs/>
          <w:sz w:val="32"/>
          <w:szCs w:val="32"/>
        </w:rPr>
        <w:t>第十三条</w:t>
      </w:r>
      <w:r>
        <w:rPr>
          <w:rFonts w:hint="eastAsia" w:ascii="仿宋_GB2312" w:eastAsia="仿宋_GB2312" w:cs="仿宋_GB2312"/>
          <w:sz w:val="32"/>
          <w:szCs w:val="32"/>
        </w:rPr>
        <w:t xml:space="preserve"> 两栋住宅建筑不开窗部分可以拼接，拼接面叠合宽度不得小于3米，并遵守下列规定：</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（一）建筑高度小于等于18米的住宅建筑，拼接后的建筑面宽不得大于80米；</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（二）建筑高度大于18米小于等于54米的住宅建筑，拼接后的建筑面宽不得大于70米；</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（三）建筑高度大于54米的住宅建筑，原则上不得拼接，确需拼接的，经专家论证，拼接后的建筑面宽不得大于70米，且不得沿重要水体、城市主干路、广场或者公园绿地布置。</w:t>
      </w:r>
    </w:p>
    <w:p>
      <w:pPr>
        <w:spacing w:line="560" w:lineRule="exact"/>
        <w:ind w:firstLine="640" w:firstLineChars="200"/>
        <w:jc w:val="left"/>
        <w:rPr>
          <w:rFonts w:ascii="仿宋_GB2312" w:eastAsia="仿宋_GB2312" w:cs="仿宋_GB2312"/>
          <w:sz w:val="32"/>
          <w:szCs w:val="32"/>
        </w:rPr>
      </w:pPr>
      <w:r>
        <w:rPr>
          <w:rFonts w:hint="eastAsia" w:ascii="黑体" w:eastAsia="黑体" w:cs="仿宋_GB2312"/>
          <w:bCs/>
          <w:sz w:val="32"/>
          <w:szCs w:val="32"/>
        </w:rPr>
        <w:t>第十四条</w:t>
      </w:r>
      <w:r>
        <w:rPr>
          <w:rFonts w:hint="eastAsia" w:ascii="仿宋_GB2312" w:eastAsia="仿宋_GB2312" w:cs="仿宋_GB2312"/>
          <w:sz w:val="32"/>
          <w:szCs w:val="32"/>
        </w:rPr>
        <w:t xml:space="preserve"> 临城市道路新建、改建、扩建的建（构）筑物，退让规划道路红线的最小距离，按照附表8的规定执行。</w:t>
      </w:r>
    </w:p>
    <w:p>
      <w:pPr>
        <w:spacing w:line="560" w:lineRule="exact"/>
        <w:ind w:firstLine="640" w:firstLineChars="200"/>
        <w:jc w:val="left"/>
        <w:rPr>
          <w:rFonts w:ascii="仿宋_GB2312" w:eastAsia="仿宋_GB2312" w:cs="仿宋_GB2312"/>
          <w:sz w:val="32"/>
          <w:szCs w:val="32"/>
        </w:rPr>
      </w:pPr>
      <w:r>
        <w:rPr>
          <w:rFonts w:hint="eastAsia" w:ascii="黑体" w:eastAsia="黑体" w:cs="仿宋_GB2312"/>
          <w:bCs/>
          <w:sz w:val="32"/>
          <w:szCs w:val="32"/>
        </w:rPr>
        <w:t>第十五条</w:t>
      </w:r>
      <w:r>
        <w:rPr>
          <w:rFonts w:hint="eastAsia" w:ascii="仿宋_GB2312" w:eastAsia="仿宋_GB2312" w:cs="仿宋_GB2312"/>
          <w:sz w:val="32"/>
          <w:szCs w:val="32"/>
        </w:rPr>
        <w:t xml:space="preserve"> 建设项目的机动车出入口优先选择设置在较低等级的城市道路上，并应当符合下列规定：</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（一）确需在主干路上设置出入口，出入口距上游交叉口不应小于50米，距下游交叉口不应小于70米，条件不允许的建设项目出入口设置在建设项目最远端；</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（二）在次干路上设置出入口，出入口距上游交叉口不应小于30米，距下游交叉口不应小于50米，条件不允许的建设项目出入口设置在建设项目最远端；</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（三）在支路上设置出入口，出入口距离主干路相交的交叉口不应小于50米，距离次干路相交的交叉口不应小于30米，距离支路相交的交叉口不应小于20米，条件不允许的建设项目出入口设置在建设项目最远端；</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（四）入口门禁系统距离小区内部道路不宜小于1</w:t>
      </w:r>
      <w:r>
        <w:rPr>
          <w:rFonts w:ascii="仿宋_GB2312" w:eastAsia="仿宋_GB2312" w:cs="仿宋_GB2312"/>
          <w:sz w:val="32"/>
          <w:szCs w:val="32"/>
        </w:rPr>
        <w:t>0</w:t>
      </w:r>
      <w:r>
        <w:rPr>
          <w:rFonts w:hint="eastAsia" w:ascii="仿宋_GB2312" w:eastAsia="仿宋_GB2312" w:cs="仿宋_GB2312"/>
          <w:sz w:val="32"/>
          <w:szCs w:val="32"/>
        </w:rPr>
        <w:t>米，距离市政道路红线不宜小于2</w:t>
      </w:r>
      <w:r>
        <w:rPr>
          <w:rFonts w:ascii="仿宋_GB2312" w:eastAsia="仿宋_GB2312" w:cs="仿宋_GB2312"/>
          <w:sz w:val="32"/>
          <w:szCs w:val="32"/>
        </w:rPr>
        <w:t>0</w:t>
      </w:r>
      <w:r>
        <w:rPr>
          <w:rFonts w:hint="eastAsia" w:ascii="仿宋_GB2312" w:eastAsia="仿宋_GB2312" w:cs="仿宋_GB2312"/>
          <w:sz w:val="32"/>
          <w:szCs w:val="32"/>
        </w:rPr>
        <w:t>米。出口门禁系统应设在平坡段或缓坡段（坡度小于或等于3</w:t>
      </w:r>
      <w:r>
        <w:rPr>
          <w:rFonts w:ascii="仿宋_GB2312" w:eastAsia="仿宋_GB2312" w:cs="仿宋_GB2312"/>
          <w:sz w:val="32"/>
          <w:szCs w:val="32"/>
        </w:rPr>
        <w:t>%</w:t>
      </w:r>
      <w:r>
        <w:rPr>
          <w:rFonts w:hint="eastAsia" w:ascii="仿宋_GB2312" w:eastAsia="仿宋_GB2312" w:cs="仿宋_GB2312"/>
          <w:sz w:val="32"/>
          <w:szCs w:val="32"/>
        </w:rPr>
        <w:t>）。</w:t>
      </w:r>
    </w:p>
    <w:p>
      <w:pPr>
        <w:spacing w:line="560" w:lineRule="exact"/>
        <w:ind w:firstLine="640" w:firstLineChars="200"/>
        <w:jc w:val="left"/>
        <w:rPr>
          <w:rFonts w:ascii="仿宋_GB2312" w:eastAsia="仿宋_GB2312" w:cs="仿宋_GB2312"/>
          <w:sz w:val="32"/>
          <w:szCs w:val="32"/>
        </w:rPr>
      </w:pPr>
      <w:r>
        <w:rPr>
          <w:rFonts w:hint="eastAsia" w:ascii="黑体" w:eastAsia="黑体" w:cs="仿宋_GB2312"/>
          <w:bCs/>
          <w:sz w:val="32"/>
          <w:szCs w:val="32"/>
        </w:rPr>
        <w:t>第十六条</w:t>
      </w:r>
      <w:r>
        <w:rPr>
          <w:rFonts w:hint="eastAsia" w:ascii="仿宋_GB2312" w:eastAsia="仿宋_GB2312" w:cs="仿宋_GB2312"/>
          <w:sz w:val="32"/>
          <w:szCs w:val="32"/>
        </w:rPr>
        <w:t xml:space="preserve"> 高压走廊宽度按照附表9的规定执行。</w:t>
      </w:r>
    </w:p>
    <w:p>
      <w:pPr>
        <w:spacing w:line="560" w:lineRule="exact"/>
        <w:ind w:firstLine="640" w:firstLineChars="200"/>
        <w:jc w:val="left"/>
        <w:rPr>
          <w:rFonts w:ascii="仿宋_GB2312" w:eastAsia="仿宋_GB2312" w:cs="仿宋_GB2312"/>
          <w:sz w:val="32"/>
          <w:szCs w:val="32"/>
        </w:rPr>
      </w:pPr>
      <w:r>
        <w:rPr>
          <w:rFonts w:hint="eastAsia" w:ascii="黑体" w:eastAsia="黑体" w:cs="仿宋_GB2312"/>
          <w:bCs/>
          <w:sz w:val="32"/>
          <w:szCs w:val="32"/>
        </w:rPr>
        <w:t>第十七条</w:t>
      </w:r>
      <w:r>
        <w:rPr>
          <w:rFonts w:hint="eastAsia" w:ascii="仿宋_GB2312" w:eastAsia="仿宋_GB2312" w:cs="仿宋_GB2312"/>
          <w:sz w:val="32"/>
          <w:szCs w:val="32"/>
        </w:rPr>
        <w:t xml:space="preserve"> 架空线路其他规划管控要求按照附表9的规定执行。</w:t>
      </w:r>
    </w:p>
    <w:p>
      <w:pPr>
        <w:spacing w:line="560" w:lineRule="exact"/>
        <w:ind w:firstLine="640" w:firstLineChars="200"/>
        <w:jc w:val="left"/>
        <w:rPr>
          <w:rFonts w:ascii="仿宋_GB2312" w:eastAsia="仿宋_GB2312" w:cs="仿宋_GB2312"/>
          <w:sz w:val="32"/>
          <w:szCs w:val="32"/>
        </w:rPr>
      </w:pPr>
      <w:r>
        <w:rPr>
          <w:rFonts w:hint="eastAsia" w:ascii="黑体" w:eastAsia="黑体" w:cs="仿宋_GB2312"/>
          <w:bCs/>
          <w:sz w:val="32"/>
          <w:szCs w:val="32"/>
        </w:rPr>
        <w:t>第十八条</w:t>
      </w:r>
      <w:r>
        <w:rPr>
          <w:rFonts w:hint="eastAsia" w:ascii="仿宋_GB2312" w:eastAsia="仿宋_GB2312" w:cs="仿宋_GB2312"/>
          <w:sz w:val="32"/>
          <w:szCs w:val="32"/>
        </w:rPr>
        <w:t xml:space="preserve"> 各类电压等级电力线路的规划保护范围按照附表9中电压导线边线延伸距离的规定执行。</w:t>
      </w:r>
    </w:p>
    <w:p>
      <w:pPr>
        <w:spacing w:line="560" w:lineRule="exact"/>
        <w:ind w:firstLine="640" w:firstLineChars="200"/>
        <w:jc w:val="left"/>
        <w:rPr>
          <w:rFonts w:ascii="仿宋_GB2312" w:eastAsia="仿宋_GB2312" w:cs="仿宋_GB2312"/>
          <w:sz w:val="32"/>
          <w:szCs w:val="32"/>
        </w:rPr>
      </w:pPr>
      <w:r>
        <w:rPr>
          <w:rFonts w:hint="eastAsia" w:ascii="黑体" w:eastAsia="黑体" w:cs="仿宋_GB2312"/>
          <w:bCs/>
          <w:sz w:val="32"/>
          <w:szCs w:val="32"/>
        </w:rPr>
        <w:t xml:space="preserve">第十九条 </w:t>
      </w:r>
      <w:r>
        <w:rPr>
          <w:rFonts w:hint="eastAsia" w:ascii="仿宋_GB2312" w:eastAsia="仿宋_GB2312" w:cs="仿宋_GB2312"/>
          <w:sz w:val="32"/>
          <w:szCs w:val="32"/>
        </w:rPr>
        <w:t>贵安新区可以参照执行。</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本规定未尽事宜，应当按照国家、省、市相关标准规范要求执行。</w:t>
      </w:r>
    </w:p>
    <w:p>
      <w:pPr>
        <w:spacing w:line="560" w:lineRule="exact"/>
        <w:ind w:firstLine="640" w:firstLineChars="200"/>
        <w:jc w:val="left"/>
        <w:rPr>
          <w:rFonts w:ascii="仿宋_GB2312" w:eastAsia="仿宋_GB2312" w:cs="仿宋_GB2312"/>
          <w:sz w:val="32"/>
          <w:szCs w:val="32"/>
        </w:rPr>
      </w:pPr>
      <w:r>
        <w:rPr>
          <w:rFonts w:hint="eastAsia" w:ascii="黑体" w:eastAsia="黑体" w:cs="仿宋_GB2312"/>
          <w:bCs/>
          <w:sz w:val="32"/>
          <w:szCs w:val="32"/>
        </w:rPr>
        <w:t>第二十条</w:t>
      </w:r>
      <w:r>
        <w:rPr>
          <w:rFonts w:hint="eastAsia" w:ascii="仿宋_GB2312" w:eastAsia="仿宋_GB2312" w:cs="仿宋_GB2312"/>
          <w:sz w:val="32"/>
          <w:szCs w:val="32"/>
        </w:rPr>
        <w:t xml:space="preserve"> 本规定自2</w:t>
      </w:r>
      <w:r>
        <w:rPr>
          <w:rFonts w:ascii="仿宋_GB2312" w:eastAsia="仿宋_GB2312" w:cs="仿宋_GB2312"/>
          <w:sz w:val="32"/>
          <w:szCs w:val="32"/>
        </w:rPr>
        <w:t>024</w:t>
      </w:r>
      <w:r>
        <w:rPr>
          <w:rFonts w:hint="eastAsia" w:ascii="仿宋_GB2312" w:eastAsia="仿宋_GB2312" w:cs="仿宋_GB2312"/>
          <w:sz w:val="32"/>
          <w:szCs w:val="32"/>
        </w:rPr>
        <w:t>年2月1日起施行。</w:t>
      </w:r>
    </w:p>
    <w:p>
      <w:pPr>
        <w:spacing w:line="560" w:lineRule="exact"/>
        <w:rPr>
          <w:rFonts w:ascii="仿宋_GB2312" w:eastAsia="仿宋_GB2312" w:cs="仿宋_GB2312"/>
          <w:sz w:val="28"/>
          <w:szCs w:val="28"/>
        </w:rPr>
      </w:pPr>
    </w:p>
    <w:p>
      <w:pPr>
        <w:spacing w:line="560" w:lineRule="exact"/>
        <w:rPr>
          <w:rFonts w:ascii="仿宋_GB2312" w:eastAsia="仿宋_GB2312" w:cs="仿宋_GB2312"/>
          <w:sz w:val="28"/>
          <w:szCs w:val="28"/>
        </w:rPr>
      </w:pPr>
    </w:p>
    <w:p>
      <w:pPr>
        <w:spacing w:line="560" w:lineRule="exact"/>
        <w:rPr>
          <w:rFonts w:ascii="仿宋_GB2312" w:eastAsia="仿宋_GB2312" w:cs="仿宋_GB2312"/>
          <w:sz w:val="28"/>
          <w:szCs w:val="28"/>
        </w:rPr>
      </w:pPr>
    </w:p>
    <w:p>
      <w:pPr>
        <w:spacing w:line="560" w:lineRule="exact"/>
        <w:rPr>
          <w:rFonts w:ascii="仿宋_GB2312" w:eastAsia="仿宋_GB2312" w:cs="仿宋_GB2312"/>
          <w:sz w:val="32"/>
          <w:szCs w:val="32"/>
        </w:rPr>
      </w:pPr>
    </w:p>
    <w:p>
      <w:pPr>
        <w:spacing w:line="560" w:lineRule="exact"/>
        <w:ind w:firstLine="643"/>
        <w:jc w:val="center"/>
        <w:rPr>
          <w:rFonts w:ascii="黑体" w:eastAsia="黑体" w:cs="仿宋_GB2312"/>
          <w:bCs/>
          <w:sz w:val="32"/>
          <w:szCs w:val="32"/>
        </w:rPr>
      </w:pPr>
      <w:r>
        <w:rPr>
          <w:rFonts w:hint="eastAsia" w:ascii="黑体" w:eastAsia="黑体" w:cs="仿宋_GB2312"/>
          <w:bCs/>
          <w:sz w:val="32"/>
          <w:szCs w:val="32"/>
        </w:rPr>
        <w:t xml:space="preserve">第二章 </w:t>
      </w:r>
      <w:r>
        <w:rPr>
          <w:rFonts w:ascii="黑体" w:eastAsia="黑体" w:cs="仿宋_GB2312"/>
          <w:bCs/>
          <w:sz w:val="32"/>
          <w:szCs w:val="32"/>
        </w:rPr>
        <w:t xml:space="preserve"> </w:t>
      </w:r>
      <w:r>
        <w:rPr>
          <w:rFonts w:hint="eastAsia" w:ascii="黑体" w:eastAsia="黑体" w:cs="仿宋_GB2312"/>
          <w:bCs/>
          <w:sz w:val="32"/>
          <w:szCs w:val="32"/>
        </w:rPr>
        <w:t>附表</w:t>
      </w:r>
    </w:p>
    <w:p>
      <w:pPr>
        <w:spacing w:line="560" w:lineRule="exact"/>
        <w:rPr>
          <w:rFonts w:ascii="黑体" w:eastAsia="黑体" w:cs="仿宋_GB2312"/>
          <w:sz w:val="28"/>
          <w:szCs w:val="28"/>
        </w:rPr>
      </w:pPr>
    </w:p>
    <w:p>
      <w:pPr>
        <w:spacing w:line="560" w:lineRule="exact"/>
        <w:rPr>
          <w:rFonts w:ascii="黑体" w:eastAsia="黑体" w:cs="仿宋_GB2312"/>
          <w:sz w:val="32"/>
          <w:szCs w:val="32"/>
        </w:rPr>
      </w:pPr>
      <w:r>
        <w:rPr>
          <w:rFonts w:hint="eastAsia" w:ascii="黑体" w:eastAsia="黑体" w:cs="仿宋_GB2312"/>
          <w:sz w:val="32"/>
          <w:szCs w:val="32"/>
        </w:rPr>
        <w:t>附表1</w:t>
      </w:r>
    </w:p>
    <w:p>
      <w:pPr>
        <w:spacing w:line="560" w:lineRule="exact"/>
        <w:ind w:firstLine="720" w:firstLineChars="200"/>
        <w:jc w:val="center"/>
        <w:rPr>
          <w:rFonts w:ascii="方正小标宋简体" w:eastAsia="方正小标宋简体" w:cs="仿宋_GB2312"/>
          <w:sz w:val="36"/>
          <w:szCs w:val="36"/>
        </w:rPr>
      </w:pPr>
    </w:p>
    <w:p>
      <w:pPr>
        <w:spacing w:line="560" w:lineRule="exact"/>
        <w:ind w:firstLine="720" w:firstLineChars="200"/>
        <w:jc w:val="center"/>
        <w:rPr>
          <w:rFonts w:ascii="方正小标宋简体" w:eastAsia="方正小标宋简体" w:cs="仿宋_GB2312"/>
          <w:sz w:val="36"/>
          <w:szCs w:val="36"/>
        </w:rPr>
      </w:pPr>
      <w:r>
        <w:rPr>
          <w:rFonts w:hint="eastAsia" w:ascii="方正小标宋简体" w:eastAsia="方正小标宋简体" w:cs="仿宋_GB2312"/>
          <w:sz w:val="36"/>
          <w:szCs w:val="36"/>
        </w:rPr>
        <w:t>容积率、建筑密度规划指标控制表</w:t>
      </w:r>
    </w:p>
    <w:tbl>
      <w:tblPr>
        <w:tblStyle w:val="11"/>
        <w:tblW w:w="8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1559"/>
        <w:gridCol w:w="1701"/>
        <w:gridCol w:w="1686"/>
        <w:gridCol w:w="1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2405"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用地性质</w:t>
            </w:r>
          </w:p>
        </w:tc>
        <w:tc>
          <w:tcPr>
            <w:tcW w:w="6334" w:type="dxa"/>
            <w:gridSpan w:val="4"/>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控制范围及控制指标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405" w:type="dxa"/>
            <w:vMerge w:val="continue"/>
            <w:vAlign w:val="center"/>
          </w:tcPr>
          <w:p/>
        </w:tc>
        <w:tc>
          <w:tcPr>
            <w:tcW w:w="3260"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南明区、云岩区</w:t>
            </w:r>
          </w:p>
        </w:tc>
        <w:tc>
          <w:tcPr>
            <w:tcW w:w="3074"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其他区域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405" w:type="dxa"/>
            <w:vMerge w:val="continue"/>
            <w:vAlign w:val="center"/>
          </w:tcPr>
          <w:p/>
        </w:tc>
        <w:tc>
          <w:tcPr>
            <w:tcW w:w="1559"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容积率</w:t>
            </w:r>
          </w:p>
        </w:tc>
        <w:tc>
          <w:tcPr>
            <w:tcW w:w="1701"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建筑密度（%）</w:t>
            </w:r>
          </w:p>
        </w:tc>
        <w:tc>
          <w:tcPr>
            <w:tcW w:w="1686"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容积率</w:t>
            </w:r>
          </w:p>
        </w:tc>
        <w:tc>
          <w:tcPr>
            <w:tcW w:w="13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建筑密度（%）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405"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居住用地</w:t>
            </w:r>
          </w:p>
        </w:tc>
        <w:tc>
          <w:tcPr>
            <w:tcW w:w="6334" w:type="dxa"/>
            <w:gridSpan w:val="4"/>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按照</w:t>
            </w:r>
            <w:bookmarkStart w:id="3" w:name="_Hlk157073294"/>
            <w:r>
              <w:rPr>
                <w:rFonts w:hint="eastAsia" w:ascii="仿宋_GB2312" w:eastAsia="仿宋_GB2312" w:cs="仿宋_GB2312"/>
                <w:szCs w:val="21"/>
              </w:rPr>
              <w:t>《城市居住区规划设计标准》（GB50180-2018）</w:t>
            </w:r>
            <w:bookmarkEnd w:id="3"/>
            <w:r>
              <w:rPr>
                <w:rFonts w:hint="eastAsia" w:ascii="仿宋_GB2312" w:eastAsia="仿宋_GB2312" w:cs="仿宋_GB2312"/>
                <w:szCs w:val="21"/>
              </w:rPr>
              <w:t>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2405"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商业服务业用地</w:t>
            </w:r>
          </w:p>
        </w:tc>
        <w:tc>
          <w:tcPr>
            <w:tcW w:w="1559"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根据实际</w:t>
            </w:r>
          </w:p>
          <w:p>
            <w:pPr>
              <w:widowControl/>
              <w:spacing w:line="240" w:lineRule="exact"/>
              <w:jc w:val="center"/>
              <w:rPr>
                <w:rFonts w:ascii="仿宋_GB2312" w:eastAsia="仿宋_GB2312" w:cs="仿宋_GB2312"/>
                <w:szCs w:val="21"/>
              </w:rPr>
            </w:pPr>
            <w:r>
              <w:rPr>
                <w:rFonts w:hint="eastAsia" w:ascii="仿宋_GB2312" w:eastAsia="仿宋_GB2312" w:cs="仿宋_GB2312"/>
                <w:szCs w:val="21"/>
              </w:rPr>
              <w:t>项目确定</w:t>
            </w:r>
          </w:p>
        </w:tc>
        <w:tc>
          <w:tcPr>
            <w:tcW w:w="1701"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≤60</w:t>
            </w:r>
          </w:p>
        </w:tc>
        <w:tc>
          <w:tcPr>
            <w:tcW w:w="1686"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根据实际</w:t>
            </w:r>
          </w:p>
          <w:p>
            <w:pPr>
              <w:widowControl/>
              <w:spacing w:line="240" w:lineRule="exact"/>
              <w:jc w:val="center"/>
              <w:rPr>
                <w:rFonts w:ascii="仿宋_GB2312" w:eastAsia="仿宋_GB2312" w:cs="仿宋_GB2312"/>
                <w:szCs w:val="21"/>
              </w:rPr>
            </w:pPr>
            <w:r>
              <w:rPr>
                <w:rFonts w:hint="eastAsia" w:ascii="仿宋_GB2312" w:eastAsia="仿宋_GB2312" w:cs="仿宋_GB2312"/>
                <w:szCs w:val="21"/>
              </w:rPr>
              <w:t>项目确定</w:t>
            </w:r>
          </w:p>
        </w:tc>
        <w:tc>
          <w:tcPr>
            <w:tcW w:w="13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2405"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工矿、仓储用地</w:t>
            </w:r>
          </w:p>
        </w:tc>
        <w:tc>
          <w:tcPr>
            <w:tcW w:w="1559"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≥1.0</w:t>
            </w:r>
          </w:p>
        </w:tc>
        <w:tc>
          <w:tcPr>
            <w:tcW w:w="1701"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≥40</w:t>
            </w:r>
          </w:p>
        </w:tc>
        <w:tc>
          <w:tcPr>
            <w:tcW w:w="1686"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≥1.0</w:t>
            </w:r>
          </w:p>
        </w:tc>
        <w:tc>
          <w:tcPr>
            <w:tcW w:w="13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8739" w:type="dxa"/>
            <w:gridSpan w:val="5"/>
            <w:vAlign w:val="center"/>
          </w:tcPr>
          <w:p>
            <w:pPr>
              <w:spacing w:line="240" w:lineRule="exact"/>
              <w:rPr>
                <w:rFonts w:ascii="仿宋_GB2312" w:eastAsia="仿宋_GB2312" w:cs="仿宋_GB2312"/>
                <w:szCs w:val="21"/>
              </w:rPr>
            </w:pPr>
            <w:r>
              <w:rPr>
                <w:rFonts w:hint="eastAsia" w:ascii="仿宋_GB2312" w:eastAsia="仿宋_GB2312" w:cs="仿宋_GB2312"/>
                <w:szCs w:val="21"/>
              </w:rPr>
              <w:t>注：</w:t>
            </w:r>
          </w:p>
          <w:p>
            <w:pPr>
              <w:spacing w:line="240" w:lineRule="exact"/>
              <w:rPr>
                <w:rFonts w:ascii="仿宋_GB2312" w:eastAsia="仿宋_GB2312" w:cs="仿宋_GB2312"/>
                <w:szCs w:val="21"/>
              </w:rPr>
            </w:pPr>
            <w:r>
              <w:rPr>
                <w:rFonts w:hint="eastAsia" w:ascii="仿宋_GB2312" w:eastAsia="仿宋_GB2312" w:cs="仿宋_GB2312"/>
                <w:szCs w:val="21"/>
              </w:rPr>
              <w:t>1.工矿用地根据项目行业分类需满足“自然资源部关于发布《工业项目建设用地控制指标》的通知”的要求；</w:t>
            </w:r>
          </w:p>
          <w:p>
            <w:pPr>
              <w:spacing w:line="240" w:lineRule="exact"/>
              <w:rPr>
                <w:rFonts w:ascii="仿宋_GB2312" w:eastAsia="仿宋_GB2312" w:cs="仿宋_GB2312"/>
                <w:szCs w:val="21"/>
              </w:rPr>
            </w:pPr>
            <w:r>
              <w:rPr>
                <w:rFonts w:hint="eastAsia" w:ascii="仿宋_GB2312" w:eastAsia="仿宋_GB2312" w:cs="仿宋_GB2312"/>
                <w:szCs w:val="21"/>
              </w:rPr>
              <w:t>2.新型产业用地容积率原则上应大于1.0，不超过3.0；新型产业用地建设项目方案以现行地方政策为准；</w:t>
            </w:r>
          </w:p>
          <w:p>
            <w:pPr>
              <w:spacing w:line="240" w:lineRule="exact"/>
              <w:rPr>
                <w:rFonts w:ascii="仿宋_GB2312" w:eastAsia="仿宋_GB2312" w:cs="仿宋_GB2312"/>
                <w:szCs w:val="21"/>
              </w:rPr>
            </w:pPr>
            <w:r>
              <w:rPr>
                <w:rFonts w:hint="eastAsia" w:ascii="仿宋_GB2312" w:eastAsia="仿宋_GB2312" w:cs="仿宋_GB2312"/>
                <w:szCs w:val="21"/>
              </w:rPr>
              <w:t>3.工矿、仓储用地的容积率及建筑密度均为建议值。</w:t>
            </w:r>
          </w:p>
        </w:tc>
      </w:tr>
    </w:tbl>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黑体" w:eastAsia="黑体" w:cs="仿宋_GB2312"/>
          <w:sz w:val="32"/>
          <w:szCs w:val="32"/>
        </w:rPr>
      </w:pPr>
      <w:r>
        <w:rPr>
          <w:rFonts w:hint="eastAsia" w:ascii="黑体" w:eastAsia="黑体" w:cs="仿宋_GB2312"/>
          <w:sz w:val="32"/>
          <w:szCs w:val="32"/>
        </w:rPr>
        <w:t>附表2</w:t>
      </w:r>
      <w:bookmarkStart w:id="4" w:name="_Hlk157075872"/>
    </w:p>
    <w:p>
      <w:pPr>
        <w:spacing w:line="560" w:lineRule="exact"/>
        <w:ind w:firstLine="720" w:firstLineChars="200"/>
        <w:jc w:val="center"/>
        <w:rPr>
          <w:rFonts w:ascii="方正小标宋简体" w:eastAsia="方正小标宋简体" w:cs="仿宋_GB2312"/>
          <w:sz w:val="36"/>
          <w:szCs w:val="36"/>
        </w:rPr>
      </w:pPr>
    </w:p>
    <w:p>
      <w:pPr>
        <w:spacing w:line="560" w:lineRule="exact"/>
        <w:ind w:firstLine="720" w:firstLineChars="200"/>
        <w:jc w:val="center"/>
        <w:rPr>
          <w:rFonts w:ascii="方正小标宋简体" w:eastAsia="方正小标宋简体" w:cs="仿宋_GB2312"/>
          <w:sz w:val="40"/>
          <w:szCs w:val="40"/>
        </w:rPr>
      </w:pPr>
      <w:r>
        <w:rPr>
          <w:rFonts w:hint="eastAsia" w:ascii="方正小标宋简体" w:eastAsia="方正小标宋简体" w:cs="仿宋_GB2312"/>
          <w:sz w:val="36"/>
          <w:szCs w:val="36"/>
        </w:rPr>
        <w:t>建设项目停车位配建标准</w:t>
      </w:r>
      <w:bookmarkEnd w:id="4"/>
      <w:r>
        <w:rPr>
          <w:rFonts w:hint="eastAsia" w:ascii="方正小标宋简体" w:eastAsia="方正小标宋简体" w:cs="仿宋_GB2312"/>
          <w:sz w:val="36"/>
          <w:szCs w:val="36"/>
        </w:rPr>
        <w:t>表</w:t>
      </w:r>
    </w:p>
    <w:tbl>
      <w:tblPr>
        <w:tblStyle w:val="11"/>
        <w:tblW w:w="88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1291"/>
        <w:gridCol w:w="1133"/>
        <w:gridCol w:w="1695"/>
        <w:gridCol w:w="2888"/>
        <w:gridCol w:w="1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序号</w:t>
            </w:r>
          </w:p>
        </w:tc>
        <w:tc>
          <w:tcPr>
            <w:tcW w:w="4119" w:type="dxa"/>
            <w:gridSpan w:val="3"/>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建筑类型</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基本单位</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配建指标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1</w:t>
            </w:r>
          </w:p>
        </w:tc>
        <w:tc>
          <w:tcPr>
            <w:tcW w:w="1291"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住宅</w:t>
            </w:r>
          </w:p>
        </w:tc>
        <w:tc>
          <w:tcPr>
            <w:tcW w:w="2828" w:type="dxa"/>
            <w:gridSpan w:val="2"/>
            <w:tcBorders>
              <w:bottom w:val="single" w:color="auto" w:sz="4" w:space="0"/>
            </w:tcBorders>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低层商品房住宅</w:t>
            </w:r>
          </w:p>
        </w:tc>
        <w:tc>
          <w:tcPr>
            <w:tcW w:w="2888" w:type="dxa"/>
            <w:tcBorders>
              <w:bottom w:val="single" w:color="auto" w:sz="4" w:space="0"/>
            </w:tcBorders>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停车位/户</w:t>
            </w:r>
          </w:p>
        </w:tc>
        <w:tc>
          <w:tcPr>
            <w:tcW w:w="1274" w:type="dxa"/>
            <w:tcBorders>
              <w:bottom w:val="single" w:color="auto" w:sz="4" w:space="0"/>
            </w:tcBorders>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tcBorders>
              <w:top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多层及以上商品房住宅</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停车位/100</w:t>
            </w:r>
            <w:r>
              <w:rPr>
                <w:rFonts w:hint="eastAsia" w:ascii="Batang" w:hAnsi="Batang" w:eastAsia="Batang" w:cs="Batang"/>
                <w:szCs w:val="21"/>
              </w:rPr>
              <w:t>㎡</w:t>
            </w:r>
            <w:r>
              <w:rPr>
                <w:rFonts w:hint="eastAsia" w:ascii="仿宋_GB2312" w:eastAsia="仿宋_GB2312" w:cs="仿宋_GB2312"/>
                <w:szCs w:val="21"/>
              </w:rPr>
              <w:t>建筑面积</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1</w:t>
            </w:r>
            <w:r>
              <w:rPr>
                <w:rFonts w:ascii="仿宋_GB2312" w:eastAsia="仿宋_GB2312" w:cs="仿宋_GB2312"/>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tcBorders>
              <w:top w:val="single" w:color="auto" w:sz="4" w:space="0"/>
            </w:tcBorders>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经济适用房住宅</w:t>
            </w:r>
          </w:p>
        </w:tc>
        <w:tc>
          <w:tcPr>
            <w:tcW w:w="2888" w:type="dxa"/>
            <w:tcBorders>
              <w:top w:val="single" w:color="auto" w:sz="4" w:space="0"/>
            </w:tcBorders>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停车位/户</w:t>
            </w:r>
          </w:p>
        </w:tc>
        <w:tc>
          <w:tcPr>
            <w:tcW w:w="1274" w:type="dxa"/>
            <w:tcBorders>
              <w:top w:val="single" w:color="auto" w:sz="4" w:space="0"/>
            </w:tcBorders>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回迁安置房住宅</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停车位/100</w:t>
            </w:r>
            <w:r>
              <w:rPr>
                <w:rFonts w:hint="eastAsia" w:ascii="Batang" w:hAnsi="Batang" w:eastAsia="Batang" w:cs="Batang"/>
                <w:szCs w:val="21"/>
              </w:rPr>
              <w:t>㎡</w:t>
            </w:r>
            <w:r>
              <w:rPr>
                <w:rFonts w:hint="eastAsia" w:ascii="仿宋_GB2312" w:eastAsia="仿宋_GB2312" w:cs="仿宋_GB2312"/>
                <w:szCs w:val="21"/>
              </w:rPr>
              <w:t>建筑面积</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公租房、保障性租赁住房</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停车位/户</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廉租房</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停车位/户</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2</w:t>
            </w:r>
          </w:p>
        </w:tc>
        <w:tc>
          <w:tcPr>
            <w:tcW w:w="1291"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办公</w:t>
            </w: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办公</w:t>
            </w:r>
          </w:p>
        </w:tc>
        <w:tc>
          <w:tcPr>
            <w:tcW w:w="2888"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停车位/100</w:t>
            </w:r>
            <w:r>
              <w:rPr>
                <w:rFonts w:hint="eastAsia" w:ascii="Batang" w:hAnsi="Batang" w:eastAsia="Batang" w:cs="Batang"/>
                <w:szCs w:val="21"/>
              </w:rPr>
              <w:t>㎡</w:t>
            </w:r>
            <w:r>
              <w:rPr>
                <w:rFonts w:hint="eastAsia" w:ascii="仿宋_GB2312" w:eastAsia="仿宋_GB2312" w:cs="仿宋_GB2312"/>
                <w:szCs w:val="21"/>
              </w:rPr>
              <w:t>建筑面积</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物管、社区用房及配套办公楼</w:t>
            </w:r>
          </w:p>
        </w:tc>
        <w:tc>
          <w:tcPr>
            <w:tcW w:w="2888" w:type="dxa"/>
            <w:vMerge w:val="continue"/>
            <w:vAlign w:val="center"/>
          </w:tcP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3</w:t>
            </w:r>
          </w:p>
        </w:tc>
        <w:tc>
          <w:tcPr>
            <w:tcW w:w="1291"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商业</w:t>
            </w: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综合零售、餐饮、娱乐</w:t>
            </w:r>
          </w:p>
        </w:tc>
        <w:tc>
          <w:tcPr>
            <w:tcW w:w="2888"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停车位/100</w:t>
            </w:r>
            <w:r>
              <w:rPr>
                <w:rFonts w:hint="eastAsia" w:ascii="Batang" w:hAnsi="Batang" w:eastAsia="Batang" w:cs="Batang"/>
                <w:szCs w:val="21"/>
              </w:rPr>
              <w:t>㎡</w:t>
            </w:r>
            <w:r>
              <w:rPr>
                <w:rFonts w:hint="eastAsia" w:ascii="仿宋_GB2312" w:eastAsia="仿宋_GB2312" w:cs="仿宋_GB2312"/>
                <w:szCs w:val="21"/>
              </w:rPr>
              <w:t>建筑面积</w:t>
            </w:r>
          </w:p>
          <w:p>
            <w:pPr>
              <w:widowControl/>
              <w:spacing w:line="240" w:lineRule="exact"/>
              <w:jc w:val="center"/>
              <w:rPr>
                <w:rFonts w:ascii="仿宋_GB2312" w:eastAsia="仿宋_GB2312" w:cs="仿宋_GB2312"/>
                <w:szCs w:val="21"/>
              </w:rPr>
            </w:pP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专业市场、批发市场</w:t>
            </w:r>
          </w:p>
        </w:tc>
        <w:tc>
          <w:tcPr>
            <w:tcW w:w="2888" w:type="dxa"/>
            <w:vMerge w:val="continue"/>
            <w:vAlign w:val="center"/>
          </w:tcP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配套商业</w:t>
            </w:r>
          </w:p>
        </w:tc>
        <w:tc>
          <w:tcPr>
            <w:tcW w:w="2888" w:type="dxa"/>
            <w:vMerge w:val="continue"/>
            <w:vAlign w:val="center"/>
          </w:tcP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中高档宾馆、旅馆、酒店</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停车位/客房</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4</w:t>
            </w:r>
          </w:p>
        </w:tc>
        <w:tc>
          <w:tcPr>
            <w:tcW w:w="1291"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文化设施类</w:t>
            </w: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影剧院、音乐厅、电影院</w:t>
            </w:r>
          </w:p>
        </w:tc>
        <w:tc>
          <w:tcPr>
            <w:tcW w:w="2888"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停车位/100</w:t>
            </w:r>
            <w:r>
              <w:rPr>
                <w:rFonts w:hint="eastAsia" w:ascii="Batang" w:hAnsi="Batang" w:eastAsia="Batang" w:cs="Batang"/>
                <w:szCs w:val="21"/>
              </w:rPr>
              <w:t>㎡</w:t>
            </w:r>
            <w:r>
              <w:rPr>
                <w:rFonts w:hint="eastAsia" w:ascii="仿宋_GB2312" w:eastAsia="仿宋_GB2312" w:cs="仿宋_GB2312"/>
                <w:szCs w:val="21"/>
              </w:rPr>
              <w:t>建筑面积</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会议中心</w:t>
            </w:r>
          </w:p>
        </w:tc>
        <w:tc>
          <w:tcPr>
            <w:tcW w:w="2888" w:type="dxa"/>
            <w:vMerge w:val="continue"/>
            <w:vAlign w:val="center"/>
          </w:tcP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博物馆、图书馆、展览馆</w:t>
            </w:r>
          </w:p>
        </w:tc>
        <w:tc>
          <w:tcPr>
            <w:tcW w:w="2888" w:type="dxa"/>
            <w:vMerge w:val="continue"/>
            <w:vAlign w:val="center"/>
          </w:tcP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5</w:t>
            </w:r>
          </w:p>
        </w:tc>
        <w:tc>
          <w:tcPr>
            <w:tcW w:w="4119" w:type="dxa"/>
            <w:gridSpan w:val="3"/>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体育设施</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停车位/100</w:t>
            </w:r>
            <w:r>
              <w:rPr>
                <w:rFonts w:hint="eastAsia" w:ascii="Batang" w:hAnsi="Batang" w:eastAsia="Batang" w:cs="Batang"/>
                <w:szCs w:val="21"/>
              </w:rPr>
              <w:t>㎡</w:t>
            </w:r>
            <w:r>
              <w:rPr>
                <w:rFonts w:hint="eastAsia" w:ascii="仿宋_GB2312" w:eastAsia="仿宋_GB2312" w:cs="仿宋_GB2312"/>
                <w:szCs w:val="21"/>
              </w:rPr>
              <w:t>建筑面积</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6</w:t>
            </w:r>
          </w:p>
        </w:tc>
        <w:tc>
          <w:tcPr>
            <w:tcW w:w="1291"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公园、广场综合类</w:t>
            </w:r>
          </w:p>
        </w:tc>
        <w:tc>
          <w:tcPr>
            <w:tcW w:w="2828" w:type="dxa"/>
            <w:gridSpan w:val="2"/>
            <w:vAlign w:val="center"/>
          </w:tcPr>
          <w:p>
            <w:pPr>
              <w:widowControl/>
              <w:spacing w:line="240" w:lineRule="exact"/>
              <w:jc w:val="center"/>
              <w:rPr>
                <w:rFonts w:hint="eastAsia" w:ascii="仿宋_GB2312" w:eastAsia="仿宋_GB2312" w:cs="仿宋_GB2312"/>
                <w:szCs w:val="21"/>
                <w:lang w:val="en-US" w:eastAsia="zh-CN"/>
              </w:rPr>
            </w:pPr>
            <w:r>
              <w:rPr>
                <w:rFonts w:hint="eastAsia" w:ascii="仿宋_GB2312" w:eastAsia="仿宋_GB2312" w:cs="仿宋_GB2312"/>
                <w:szCs w:val="21"/>
              </w:rPr>
              <w:t>休闲娱乐</w:t>
            </w:r>
            <w:r>
              <w:rPr>
                <w:rFonts w:hint="eastAsia" w:ascii="仿宋_GB2312" w:eastAsia="仿宋_GB2312" w:cs="仿宋_GB2312"/>
                <w:szCs w:val="21"/>
                <w:lang w:val="en-US" w:eastAsia="zh-CN"/>
              </w:rPr>
              <w:t>型</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停车位/100</w:t>
            </w:r>
            <w:r>
              <w:rPr>
                <w:rFonts w:hint="eastAsia" w:ascii="Batang" w:hAnsi="Batang" w:eastAsia="Batang" w:cs="Batang"/>
                <w:szCs w:val="21"/>
              </w:rPr>
              <w:t>㎡</w:t>
            </w:r>
            <w:r>
              <w:rPr>
                <w:rFonts w:hint="eastAsia" w:ascii="仿宋_GB2312" w:eastAsia="仿宋_GB2312" w:cs="仿宋_GB2312"/>
                <w:szCs w:val="21"/>
              </w:rPr>
              <w:t>占地面积</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vAlign w:val="center"/>
          </w:tcPr>
          <w:p>
            <w:pPr>
              <w:widowControl/>
              <w:spacing w:line="240" w:lineRule="exact"/>
              <w:jc w:val="center"/>
              <w:rPr>
                <w:rFonts w:hint="eastAsia" w:ascii="仿宋_GB2312" w:eastAsia="仿宋_GB2312" w:cs="仿宋_GB2312"/>
                <w:szCs w:val="21"/>
                <w:lang w:val="en-US" w:eastAsia="zh-CN"/>
              </w:rPr>
            </w:pPr>
            <w:r>
              <w:rPr>
                <w:rFonts w:hint="eastAsia" w:ascii="仿宋_GB2312" w:eastAsia="仿宋_GB2312" w:cs="仿宋_GB2312"/>
                <w:szCs w:val="21"/>
              </w:rPr>
              <w:t>自然景观</w:t>
            </w:r>
            <w:r>
              <w:rPr>
                <w:rFonts w:hint="eastAsia" w:ascii="仿宋_GB2312" w:eastAsia="仿宋_GB2312" w:cs="仿宋_GB2312"/>
                <w:szCs w:val="21"/>
                <w:lang w:val="en-US" w:eastAsia="zh-CN"/>
              </w:rPr>
              <w:t>型</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停车位/100</w:t>
            </w:r>
            <w:r>
              <w:rPr>
                <w:rFonts w:hint="eastAsia" w:ascii="Batang" w:hAnsi="Batang" w:eastAsia="Batang" w:cs="Batang"/>
                <w:szCs w:val="21"/>
              </w:rPr>
              <w:t>㎡</w:t>
            </w:r>
            <w:r>
              <w:rPr>
                <w:rFonts w:hint="eastAsia" w:ascii="仿宋_GB2312" w:eastAsia="仿宋_GB2312" w:cs="仿宋_GB2312"/>
                <w:szCs w:val="21"/>
              </w:rPr>
              <w:t>占地面积</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7</w:t>
            </w:r>
          </w:p>
        </w:tc>
        <w:tc>
          <w:tcPr>
            <w:tcW w:w="1291"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医院</w:t>
            </w:r>
          </w:p>
        </w:tc>
        <w:tc>
          <w:tcPr>
            <w:tcW w:w="1133"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综合医院、专科医院、独立门诊</w:t>
            </w:r>
          </w:p>
        </w:tc>
        <w:tc>
          <w:tcPr>
            <w:tcW w:w="1695"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各类建筑（不含住院楼）</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停车位/100</w:t>
            </w:r>
            <w:r>
              <w:rPr>
                <w:rFonts w:hint="eastAsia" w:ascii="Batang" w:hAnsi="Batang" w:eastAsia="Batang" w:cs="Batang"/>
                <w:szCs w:val="21"/>
              </w:rPr>
              <w:t>㎡</w:t>
            </w:r>
            <w:r>
              <w:rPr>
                <w:rFonts w:hint="eastAsia" w:ascii="仿宋_GB2312" w:eastAsia="仿宋_GB2312" w:cs="仿宋_GB2312"/>
                <w:szCs w:val="21"/>
              </w:rPr>
              <w:t>建筑面积</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1133" w:type="dxa"/>
            <w:vMerge w:val="continue"/>
            <w:vAlign w:val="center"/>
          </w:tcPr>
          <w:p/>
        </w:tc>
        <w:tc>
          <w:tcPr>
            <w:tcW w:w="1695"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住院楼</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停车位/床位</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疗养院</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停车位/100</w:t>
            </w:r>
            <w:r>
              <w:rPr>
                <w:rFonts w:hint="eastAsia" w:ascii="Batang" w:hAnsi="Batang" w:eastAsia="Batang" w:cs="Batang"/>
                <w:szCs w:val="21"/>
              </w:rPr>
              <w:t>㎡</w:t>
            </w:r>
            <w:r>
              <w:rPr>
                <w:rFonts w:hint="eastAsia" w:ascii="仿宋_GB2312" w:eastAsia="仿宋_GB2312" w:cs="仿宋_GB2312"/>
                <w:szCs w:val="21"/>
              </w:rPr>
              <w:t>建筑面积</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8</w:t>
            </w:r>
          </w:p>
        </w:tc>
        <w:tc>
          <w:tcPr>
            <w:tcW w:w="1291"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学校</w:t>
            </w: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教工</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停车位/100名教工</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高校、中等专业学生</w:t>
            </w:r>
          </w:p>
        </w:tc>
        <w:tc>
          <w:tcPr>
            <w:tcW w:w="2888"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停车位/100名学生</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高中学生</w:t>
            </w:r>
          </w:p>
        </w:tc>
        <w:tc>
          <w:tcPr>
            <w:tcW w:w="2888" w:type="dxa"/>
            <w:vMerge w:val="continue"/>
            <w:vAlign w:val="center"/>
          </w:tcP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1133"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非寄宿</w:t>
            </w:r>
          </w:p>
        </w:tc>
        <w:tc>
          <w:tcPr>
            <w:tcW w:w="1695"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初中、小学学生</w:t>
            </w:r>
          </w:p>
        </w:tc>
        <w:tc>
          <w:tcPr>
            <w:tcW w:w="2888" w:type="dxa"/>
            <w:vMerge w:val="continue"/>
            <w:vAlign w:val="center"/>
          </w:tcP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1133" w:type="dxa"/>
            <w:vMerge w:val="continue"/>
            <w:vAlign w:val="center"/>
          </w:tcPr>
          <w:p/>
        </w:tc>
        <w:tc>
          <w:tcPr>
            <w:tcW w:w="1695"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幼儿园学生</w:t>
            </w:r>
          </w:p>
        </w:tc>
        <w:tc>
          <w:tcPr>
            <w:tcW w:w="2888" w:type="dxa"/>
            <w:vMerge w:val="continue"/>
            <w:vAlign w:val="center"/>
          </w:tcP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1133"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寄宿</w:t>
            </w:r>
          </w:p>
        </w:tc>
        <w:tc>
          <w:tcPr>
            <w:tcW w:w="1695"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初中、小学学生</w:t>
            </w:r>
          </w:p>
        </w:tc>
        <w:tc>
          <w:tcPr>
            <w:tcW w:w="2888" w:type="dxa"/>
            <w:vMerge w:val="continue"/>
            <w:vAlign w:val="center"/>
          </w:tcP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1133" w:type="dxa"/>
            <w:vMerge w:val="continue"/>
            <w:vAlign w:val="center"/>
          </w:tcPr>
          <w:p/>
        </w:tc>
        <w:tc>
          <w:tcPr>
            <w:tcW w:w="1695"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幼儿园学生</w:t>
            </w:r>
          </w:p>
        </w:tc>
        <w:tc>
          <w:tcPr>
            <w:tcW w:w="2888" w:type="dxa"/>
            <w:vMerge w:val="continue"/>
            <w:vAlign w:val="center"/>
          </w:tcP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8"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9</w:t>
            </w:r>
          </w:p>
        </w:tc>
        <w:tc>
          <w:tcPr>
            <w:tcW w:w="1291"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交通枢纽</w:t>
            </w: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　长途汽车客运站</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停车位/年平均日每千位旅客</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火车站</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停车位/年平均日每千位旅客</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　客运机场</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停车位/年平均日每千位旅客</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10</w:t>
            </w:r>
          </w:p>
        </w:tc>
        <w:tc>
          <w:tcPr>
            <w:tcW w:w="1291" w:type="dxa"/>
            <w:vMerge w:val="restart"/>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工业类</w:t>
            </w: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　工业厂房</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停车位/100</w:t>
            </w:r>
            <w:r>
              <w:rPr>
                <w:rFonts w:hint="eastAsia" w:ascii="Batang" w:hAnsi="Batang" w:eastAsia="Batang" w:cs="Batang"/>
                <w:szCs w:val="21"/>
              </w:rPr>
              <w:t>㎡</w:t>
            </w:r>
            <w:r>
              <w:rPr>
                <w:rFonts w:hint="eastAsia" w:ascii="仿宋_GB2312" w:eastAsia="仿宋_GB2312" w:cs="微软雅黑"/>
                <w:szCs w:val="21"/>
              </w:rPr>
              <w:t>建筑面积</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vMerge w:val="continue"/>
            <w:vAlign w:val="center"/>
          </w:tcPr>
          <w:p/>
        </w:tc>
        <w:tc>
          <w:tcPr>
            <w:tcW w:w="1291" w:type="dxa"/>
            <w:vMerge w:val="continue"/>
            <w:vAlign w:val="center"/>
          </w:tcPr>
          <w:p/>
        </w:tc>
        <w:tc>
          <w:tcPr>
            <w:tcW w:w="2828" w:type="dxa"/>
            <w:gridSpan w:val="2"/>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　仓储</w:t>
            </w:r>
          </w:p>
        </w:tc>
        <w:tc>
          <w:tcPr>
            <w:tcW w:w="2888"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停车位/100</w:t>
            </w:r>
            <w:r>
              <w:rPr>
                <w:rFonts w:hint="eastAsia" w:ascii="Batang" w:hAnsi="Batang" w:eastAsia="Batang" w:cs="Batang"/>
                <w:szCs w:val="21"/>
              </w:rPr>
              <w:t>㎡</w:t>
            </w:r>
            <w:r>
              <w:rPr>
                <w:rFonts w:hint="eastAsia" w:ascii="仿宋_GB2312" w:eastAsia="仿宋_GB2312" w:cs="微软雅黑"/>
                <w:szCs w:val="21"/>
              </w:rPr>
              <w:t>建筑面积</w:t>
            </w:r>
          </w:p>
        </w:tc>
        <w:tc>
          <w:tcPr>
            <w:tcW w:w="1274" w:type="dxa"/>
            <w:vAlign w:val="center"/>
          </w:tcPr>
          <w:p>
            <w:pPr>
              <w:widowControl/>
              <w:spacing w:line="240" w:lineRule="exact"/>
              <w:jc w:val="center"/>
              <w:rPr>
                <w:rFonts w:ascii="仿宋_GB2312" w:eastAsia="仿宋_GB2312" w:cs="仿宋_GB2312"/>
                <w:szCs w:val="21"/>
              </w:rPr>
            </w:pPr>
            <w:r>
              <w:rPr>
                <w:rFonts w:hint="eastAsia" w:ascii="仿宋_GB2312" w:eastAsia="仿宋_GB2312" w:cs="仿宋_GB2312"/>
                <w:szCs w:val="21"/>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9" w:type="dxa"/>
            <w:gridSpan w:val="6"/>
            <w:vAlign w:val="center"/>
          </w:tcPr>
          <w:p>
            <w:pPr>
              <w:widowControl/>
              <w:spacing w:line="240" w:lineRule="exact"/>
              <w:rPr>
                <w:rFonts w:ascii="仿宋_GB2312" w:eastAsia="仿宋_GB2312" w:cs="仿宋_GB2312"/>
                <w:szCs w:val="21"/>
              </w:rPr>
            </w:pPr>
            <w:r>
              <w:rPr>
                <w:rFonts w:hint="eastAsia" w:ascii="仿宋_GB2312" w:eastAsia="仿宋_GB2312" w:cs="仿宋_GB2312"/>
                <w:szCs w:val="21"/>
              </w:rPr>
              <w:t>注：</w:t>
            </w:r>
          </w:p>
          <w:p>
            <w:pPr>
              <w:widowControl/>
              <w:spacing w:line="240" w:lineRule="exact"/>
              <w:rPr>
                <w:rFonts w:ascii="仿宋_GB2312" w:eastAsia="仿宋_GB2312" w:cs="仿宋_GB2312"/>
                <w:szCs w:val="21"/>
              </w:rPr>
            </w:pPr>
            <w:r>
              <w:rPr>
                <w:rFonts w:hint="eastAsia" w:ascii="仿宋_GB2312" w:eastAsia="仿宋_GB2312" w:cs="仿宋_GB2312"/>
                <w:szCs w:val="21"/>
              </w:rPr>
              <w:t>1.本表为贵阳市建筑物配建停车泊位的设置标准，表中所列配建指标均为建筑物应配建停车位的最低指标；</w:t>
            </w:r>
            <w:r>
              <w:rPr>
                <w:rFonts w:hint="eastAsia" w:ascii="仿宋_GB2312" w:eastAsia="仿宋_GB2312" w:cs="仿宋_GB2312"/>
                <w:szCs w:val="21"/>
              </w:rPr>
              <w:tab/>
            </w:r>
          </w:p>
          <w:p>
            <w:pPr>
              <w:widowControl/>
              <w:spacing w:line="240" w:lineRule="exact"/>
              <w:rPr>
                <w:rFonts w:ascii="仿宋_GB2312" w:eastAsia="仿宋_GB2312" w:cs="仿宋_GB2312"/>
                <w:szCs w:val="21"/>
              </w:rPr>
            </w:pPr>
            <w:r>
              <w:rPr>
                <w:rFonts w:hint="eastAsia" w:ascii="仿宋_GB2312" w:eastAsia="仿宋_GB2312" w:cs="仿宋_GB2312"/>
                <w:szCs w:val="21"/>
              </w:rPr>
              <w:t>2.居住区室外地面停车泊位一般不超过总泊位数的10%；</w:t>
            </w:r>
          </w:p>
          <w:p>
            <w:pPr>
              <w:widowControl/>
              <w:spacing w:line="240" w:lineRule="exact"/>
              <w:rPr>
                <w:rFonts w:ascii="仿宋_GB2312" w:eastAsia="仿宋_GB2312" w:cs="仿宋_GB2312"/>
                <w:szCs w:val="21"/>
              </w:rPr>
            </w:pPr>
            <w:r>
              <w:rPr>
                <w:rFonts w:hint="eastAsia" w:ascii="仿宋_GB2312" w:eastAsia="仿宋_GB2312" w:cs="仿宋_GB2312"/>
                <w:szCs w:val="21"/>
              </w:rPr>
              <w:t xml:space="preserve">3.本表车位以小汽车停车位为标准单位，非标准停车位可按停车位面积折算为标准单位计入配建停车位； </w:t>
            </w:r>
          </w:p>
          <w:p>
            <w:pPr>
              <w:widowControl/>
              <w:spacing w:line="240" w:lineRule="exact"/>
              <w:rPr>
                <w:rFonts w:ascii="仿宋_GB2312" w:eastAsia="仿宋_GB2312" w:cs="仿宋_GB2312"/>
                <w:szCs w:val="21"/>
              </w:rPr>
            </w:pPr>
            <w:r>
              <w:rPr>
                <w:rFonts w:hint="eastAsia" w:ascii="仿宋_GB2312" w:eastAsia="仿宋_GB2312" w:cs="仿宋_GB2312"/>
                <w:szCs w:val="21"/>
              </w:rPr>
              <w:t>4.住宅项目按照住宅需求总车位数3%-5%设置来访公共停车位；</w:t>
            </w:r>
            <w:r>
              <w:rPr>
                <w:rFonts w:hint="eastAsia" w:ascii="仿宋_GB2312" w:eastAsia="仿宋_GB2312" w:cs="仿宋_GB2312"/>
                <w:szCs w:val="21"/>
              </w:rPr>
              <w:tab/>
            </w:r>
          </w:p>
          <w:p>
            <w:pPr>
              <w:widowControl/>
              <w:spacing w:line="240" w:lineRule="exact"/>
              <w:rPr>
                <w:rFonts w:ascii="仿宋_GB2312" w:eastAsia="仿宋_GB2312" w:cs="仿宋_GB2312"/>
                <w:szCs w:val="21"/>
              </w:rPr>
            </w:pPr>
            <w:r>
              <w:rPr>
                <w:rFonts w:hint="eastAsia" w:ascii="仿宋_GB2312" w:eastAsia="仿宋_GB2312" w:cs="仿宋_GB2312"/>
                <w:szCs w:val="21"/>
              </w:rPr>
              <w:t xml:space="preserve">5.地铁站点500米内的商业、办公类建筑，最低可按停车位配建指标的70%配置停车位； </w:t>
            </w:r>
          </w:p>
          <w:p>
            <w:pPr>
              <w:widowControl/>
              <w:spacing w:line="240" w:lineRule="exact"/>
              <w:rPr>
                <w:rFonts w:ascii="仿宋_GB2312" w:eastAsia="仿宋_GB2312" w:cs="仿宋_GB2312"/>
                <w:szCs w:val="21"/>
              </w:rPr>
            </w:pPr>
            <w:r>
              <w:rPr>
                <w:rFonts w:hint="eastAsia" w:ascii="仿宋_GB2312" w:eastAsia="仿宋_GB2312" w:cs="仿宋_GB2312"/>
                <w:szCs w:val="21"/>
              </w:rPr>
              <w:t>6.配售型保障性住房停车位配建标准不应低于经济适用房住宅配建标准；</w:t>
            </w:r>
          </w:p>
          <w:p>
            <w:pPr>
              <w:widowControl/>
              <w:spacing w:line="240" w:lineRule="exact"/>
              <w:rPr>
                <w:rFonts w:ascii="仿宋_GB2312" w:eastAsia="仿宋_GB2312" w:cs="仿宋_GB2312"/>
                <w:szCs w:val="21"/>
              </w:rPr>
            </w:pPr>
            <w:r>
              <w:rPr>
                <w:rFonts w:ascii="仿宋_GB2312" w:eastAsia="仿宋_GB2312" w:cs="仿宋_GB2312"/>
                <w:szCs w:val="21"/>
              </w:rPr>
              <w:t>7</w:t>
            </w:r>
            <w:r>
              <w:rPr>
                <w:rFonts w:hint="eastAsia" w:ascii="仿宋_GB2312" w:eastAsia="仿宋_GB2312" w:cs="仿宋_GB2312"/>
                <w:szCs w:val="21"/>
              </w:rPr>
              <w:t>.未列建筑类型，参照相近建筑类型配建停车位指标；</w:t>
            </w:r>
          </w:p>
          <w:p>
            <w:pPr>
              <w:widowControl/>
              <w:spacing w:line="240" w:lineRule="exact"/>
              <w:rPr>
                <w:rFonts w:ascii="仿宋_GB2312" w:eastAsia="仿宋_GB2312" w:cs="仿宋_GB2312"/>
                <w:szCs w:val="21"/>
              </w:rPr>
            </w:pPr>
            <w:r>
              <w:rPr>
                <w:rFonts w:ascii="仿宋_GB2312" w:eastAsia="仿宋_GB2312" w:cs="仿宋_GB2312"/>
                <w:szCs w:val="21"/>
              </w:rPr>
              <w:t>8</w:t>
            </w:r>
            <w:r>
              <w:rPr>
                <w:rFonts w:hint="eastAsia" w:ascii="仿宋_GB2312" w:eastAsia="仿宋_GB2312" w:cs="仿宋_GB2312"/>
                <w:szCs w:val="21"/>
              </w:rPr>
              <w:t>.地铁、公共交通沿线停车配置按相关规定执行。</w:t>
            </w:r>
          </w:p>
        </w:tc>
      </w:tr>
    </w:tbl>
    <w:p>
      <w:pPr>
        <w:spacing w:line="480" w:lineRule="exact"/>
        <w:rPr>
          <w:rFonts w:ascii="仿宋_GB2312" w:eastAsia="仿宋_GB2312" w:cs="仿宋_GB2312"/>
          <w:sz w:val="28"/>
          <w:szCs w:val="28"/>
        </w:rPr>
      </w:pPr>
    </w:p>
    <w:p>
      <w:pPr>
        <w:spacing w:line="480" w:lineRule="exact"/>
        <w:rPr>
          <w:rFonts w:ascii="仿宋_GB2312" w:eastAsia="仿宋_GB2312" w:cs="仿宋_GB2312"/>
          <w:sz w:val="28"/>
          <w:szCs w:val="28"/>
        </w:rPr>
      </w:pPr>
    </w:p>
    <w:p>
      <w:pPr>
        <w:spacing w:line="480" w:lineRule="exact"/>
        <w:rPr>
          <w:rFonts w:ascii="黑体" w:eastAsia="黑体" w:cs="仿宋_GB2312"/>
          <w:sz w:val="32"/>
          <w:szCs w:val="32"/>
        </w:rPr>
      </w:pPr>
      <w:r>
        <w:rPr>
          <w:rFonts w:hint="eastAsia" w:ascii="黑体" w:eastAsia="黑体" w:cs="仿宋_GB2312"/>
          <w:sz w:val="32"/>
          <w:szCs w:val="32"/>
        </w:rPr>
        <w:t>附表3-1</w:t>
      </w:r>
    </w:p>
    <w:p>
      <w:pPr>
        <w:spacing w:line="480" w:lineRule="exact"/>
        <w:jc w:val="center"/>
        <w:rPr>
          <w:rFonts w:ascii="方正小标宋简体" w:eastAsia="方正小标宋简体" w:cs="仿宋_GB2312"/>
          <w:sz w:val="36"/>
          <w:szCs w:val="36"/>
        </w:rPr>
      </w:pPr>
    </w:p>
    <w:p>
      <w:pPr>
        <w:spacing w:line="480" w:lineRule="exact"/>
        <w:jc w:val="center"/>
        <w:rPr>
          <w:rFonts w:ascii="方正小标宋简体" w:eastAsia="方正小标宋简体" w:cs="仿宋_GB2312"/>
          <w:sz w:val="36"/>
          <w:szCs w:val="36"/>
        </w:rPr>
      </w:pPr>
      <w:r>
        <w:rPr>
          <w:rFonts w:hint="eastAsia" w:ascii="方正小标宋简体" w:eastAsia="方正小标宋简体" w:cs="仿宋_GB2312"/>
          <w:sz w:val="36"/>
          <w:szCs w:val="36"/>
        </w:rPr>
        <w:t>社区级配套设施规划建设控制要求表</w:t>
      </w:r>
    </w:p>
    <w:p>
      <w:pPr>
        <w:spacing w:line="480" w:lineRule="exact"/>
        <w:rPr>
          <w:rFonts w:ascii="楷体_GB2312" w:eastAsia="楷体_GB2312" w:cs="仿宋_GB2312"/>
          <w:sz w:val="28"/>
          <w:szCs w:val="28"/>
        </w:rPr>
      </w:pPr>
      <w:r>
        <w:rPr>
          <w:rFonts w:hint="eastAsia" w:ascii="楷体_GB2312" w:eastAsia="楷体_GB2312" w:cs="仿宋_GB2312"/>
          <w:sz w:val="28"/>
          <w:szCs w:val="28"/>
        </w:rPr>
        <w:t>（15分钟生活圈居住区服务人口5—10万人，10分钟生活圈居住区服务人口1.5—2.5万人，户均2.7人。）</w:t>
      </w:r>
    </w:p>
    <w:tbl>
      <w:tblPr>
        <w:tblStyle w:val="11"/>
        <w:tblW w:w="5000" w:type="pct"/>
        <w:tblInd w:w="71" w:type="dxa"/>
        <w:tblLayout w:type="autofit"/>
        <w:tblCellMar>
          <w:top w:w="0" w:type="dxa"/>
          <w:left w:w="0" w:type="dxa"/>
          <w:bottom w:w="0" w:type="dxa"/>
          <w:right w:w="0" w:type="dxa"/>
        </w:tblCellMar>
      </w:tblPr>
      <w:tblGrid>
        <w:gridCol w:w="491"/>
        <w:gridCol w:w="999"/>
        <w:gridCol w:w="1104"/>
        <w:gridCol w:w="865"/>
        <w:gridCol w:w="865"/>
        <w:gridCol w:w="1512"/>
        <w:gridCol w:w="1575"/>
        <w:gridCol w:w="1576"/>
      </w:tblGrid>
      <w:tr>
        <w:tblPrEx>
          <w:tblCellMar>
            <w:top w:w="0" w:type="dxa"/>
            <w:left w:w="0" w:type="dxa"/>
            <w:bottom w:w="0" w:type="dxa"/>
            <w:right w:w="0" w:type="dxa"/>
          </w:tblCellMar>
        </w:tblPrEx>
        <w:trPr>
          <w:trHeight w:val="454" w:hRule="atLeast"/>
        </w:trPr>
        <w:tc>
          <w:tcPr>
            <w:tcW w:w="274"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序号</w:t>
            </w:r>
          </w:p>
        </w:tc>
        <w:tc>
          <w:tcPr>
            <w:tcW w:w="556"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设施名称</w:t>
            </w:r>
          </w:p>
        </w:tc>
        <w:tc>
          <w:tcPr>
            <w:tcW w:w="614"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15分钟生活圈</w:t>
            </w:r>
          </w:p>
        </w:tc>
        <w:tc>
          <w:tcPr>
            <w:tcW w:w="481"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10分钟生活圈</w:t>
            </w:r>
          </w:p>
        </w:tc>
        <w:tc>
          <w:tcPr>
            <w:tcW w:w="2198" w:type="pct"/>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设置要求</w:t>
            </w:r>
          </w:p>
        </w:tc>
        <w:tc>
          <w:tcPr>
            <w:tcW w:w="877"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备注</w:t>
            </w:r>
          </w:p>
        </w:tc>
      </w:tr>
      <w:tr>
        <w:tblPrEx>
          <w:tblCellMar>
            <w:top w:w="0" w:type="dxa"/>
            <w:left w:w="0" w:type="dxa"/>
            <w:bottom w:w="0" w:type="dxa"/>
            <w:right w:w="0" w:type="dxa"/>
          </w:tblCellMar>
        </w:tblPrEx>
        <w:trPr>
          <w:trHeight w:val="544" w:hRule="atLeast"/>
        </w:trPr>
        <w:tc>
          <w:tcPr>
            <w:tcW w:w="274" w:type="pct"/>
            <w:vMerge w:val="continue"/>
            <w:tcBorders>
              <w:top w:val="single" w:color="000000" w:sz="8" w:space="0"/>
              <w:left w:val="single" w:color="000000" w:sz="8" w:space="0"/>
              <w:bottom w:val="single" w:color="000000" w:sz="8" w:space="0"/>
              <w:right w:val="single" w:color="000000" w:sz="8" w:space="0"/>
            </w:tcBorders>
            <w:vAlign w:val="center"/>
          </w:tcPr>
          <w:p/>
        </w:tc>
        <w:tc>
          <w:tcPr>
            <w:tcW w:w="556" w:type="pct"/>
            <w:vMerge w:val="continue"/>
            <w:tcBorders>
              <w:top w:val="single" w:color="000000" w:sz="8" w:space="0"/>
              <w:left w:val="single" w:color="000000" w:sz="8" w:space="0"/>
              <w:bottom w:val="single" w:color="000000" w:sz="8" w:space="0"/>
              <w:right w:val="single" w:color="000000" w:sz="8" w:space="0"/>
            </w:tcBorders>
            <w:vAlign w:val="center"/>
          </w:tcPr>
          <w:p/>
        </w:tc>
        <w:tc>
          <w:tcPr>
            <w:tcW w:w="614" w:type="pct"/>
            <w:vMerge w:val="continue"/>
            <w:tcBorders>
              <w:top w:val="single" w:color="000000" w:sz="8" w:space="0"/>
              <w:left w:val="single" w:color="000000" w:sz="8" w:space="0"/>
              <w:bottom w:val="single" w:color="000000" w:sz="8" w:space="0"/>
              <w:right w:val="single" w:color="000000" w:sz="8" w:space="0"/>
            </w:tcBorders>
            <w:vAlign w:val="center"/>
          </w:tcPr>
          <w:p/>
        </w:tc>
        <w:tc>
          <w:tcPr>
            <w:tcW w:w="481" w:type="pct"/>
            <w:vMerge w:val="continue"/>
            <w:tcBorders>
              <w:top w:val="single" w:color="000000" w:sz="8" w:space="0"/>
              <w:left w:val="single" w:color="000000" w:sz="8" w:space="0"/>
              <w:bottom w:val="single" w:color="000000" w:sz="8" w:space="0"/>
              <w:right w:val="single" w:color="000000" w:sz="8" w:space="0"/>
            </w:tcBorders>
            <w:vAlign w:val="center"/>
          </w:tcP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千人指标</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建筑面积（</w:t>
            </w:r>
            <w:r>
              <w:rPr>
                <w:rFonts w:hint="eastAsia" w:ascii="Batang" w:hAnsi="Batang" w:eastAsia="Batang" w:cs="Batang"/>
                <w:szCs w:val="21"/>
              </w:rPr>
              <w:t>㎡</w:t>
            </w:r>
            <w:r>
              <w:rPr>
                <w:rFonts w:hint="eastAsia" w:ascii="仿宋_GB2312" w:eastAsia="仿宋_GB2312" w:cs="微软雅黑"/>
                <w:szCs w:val="21"/>
              </w:rPr>
              <w:t>）</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用地面积（</w:t>
            </w:r>
            <w:r>
              <w:rPr>
                <w:rFonts w:hint="eastAsia" w:ascii="Batang" w:hAnsi="Batang" w:eastAsia="Batang" w:cs="Batang"/>
                <w:szCs w:val="21"/>
              </w:rPr>
              <w:t>㎡</w:t>
            </w:r>
            <w:r>
              <w:rPr>
                <w:rFonts w:hint="eastAsia" w:ascii="仿宋_GB2312" w:eastAsia="仿宋_GB2312" w:cs="微软雅黑"/>
                <w:szCs w:val="21"/>
              </w:rPr>
              <w:t>）</w:t>
            </w:r>
          </w:p>
        </w:tc>
        <w:tc>
          <w:tcPr>
            <w:tcW w:w="877" w:type="pct"/>
            <w:vMerge w:val="continue"/>
            <w:tcBorders>
              <w:top w:val="single" w:color="000000" w:sz="8" w:space="0"/>
              <w:left w:val="single" w:color="000000" w:sz="8" w:space="0"/>
              <w:bottom w:val="single" w:color="000000" w:sz="8" w:space="0"/>
              <w:right w:val="single" w:color="000000" w:sz="8" w:space="0"/>
            </w:tcBorders>
            <w:vAlign w:val="center"/>
          </w:tcP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初中*</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35</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旧城改造：≥17</w:t>
            </w:r>
            <w:r>
              <w:rPr>
                <w:rFonts w:hint="eastAsia" w:ascii="Batang" w:hAnsi="Batang" w:eastAsia="Batang" w:cs="Batang"/>
                <w:szCs w:val="21"/>
              </w:rPr>
              <w:t>㎡</w:t>
            </w:r>
            <w:r>
              <w:rPr>
                <w:rFonts w:hint="eastAsia" w:ascii="仿宋_GB2312" w:eastAsia="仿宋_GB2312" w:cs="仿宋_GB2312"/>
                <w:szCs w:val="21"/>
              </w:rPr>
              <w:t>/人</w:t>
            </w:r>
          </w:p>
          <w:p>
            <w:pPr>
              <w:spacing w:line="240" w:lineRule="exact"/>
              <w:jc w:val="center"/>
              <w:rPr>
                <w:rFonts w:ascii="仿宋_GB2312" w:eastAsia="仿宋_GB2312" w:cs="仿宋_GB2312"/>
                <w:szCs w:val="21"/>
              </w:rPr>
            </w:pPr>
            <w:r>
              <w:rPr>
                <w:rFonts w:hint="eastAsia" w:ascii="仿宋_GB2312" w:eastAsia="仿宋_GB2312" w:cs="仿宋_GB2312"/>
                <w:szCs w:val="21"/>
              </w:rPr>
              <w:t>新建居住区：≥22</w:t>
            </w:r>
            <w:r>
              <w:rPr>
                <w:rFonts w:hint="eastAsia" w:ascii="Batang" w:hAnsi="Batang" w:eastAsia="Batang" w:cs="Batang"/>
                <w:szCs w:val="21"/>
              </w:rPr>
              <w:t>㎡</w:t>
            </w:r>
            <w:r>
              <w:rPr>
                <w:rFonts w:hint="eastAsia" w:ascii="仿宋_GB2312" w:eastAsia="仿宋_GB2312" w:cs="仿宋_GB2312"/>
                <w:szCs w:val="21"/>
              </w:rPr>
              <w:t>/人</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应独立占地，不宜大于36班。</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2</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小学*</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65</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旧城改造：≥13</w:t>
            </w:r>
            <w:r>
              <w:rPr>
                <w:rFonts w:hint="eastAsia" w:ascii="Batang" w:hAnsi="Batang" w:eastAsia="Batang" w:cs="Batang"/>
                <w:szCs w:val="21"/>
              </w:rPr>
              <w:t>㎡</w:t>
            </w:r>
            <w:r>
              <w:rPr>
                <w:rFonts w:hint="eastAsia" w:ascii="仿宋_GB2312" w:eastAsia="仿宋_GB2312" w:cs="仿宋_GB2312"/>
                <w:szCs w:val="21"/>
              </w:rPr>
              <w:t>/人</w:t>
            </w:r>
          </w:p>
          <w:p>
            <w:pPr>
              <w:spacing w:line="240" w:lineRule="exact"/>
              <w:jc w:val="center"/>
              <w:rPr>
                <w:rFonts w:ascii="仿宋_GB2312" w:eastAsia="仿宋_GB2312" w:cs="仿宋_GB2312"/>
                <w:szCs w:val="21"/>
              </w:rPr>
            </w:pPr>
            <w:r>
              <w:rPr>
                <w:rFonts w:hint="eastAsia" w:ascii="仿宋_GB2312" w:eastAsia="仿宋_GB2312" w:cs="仿宋_GB2312"/>
                <w:szCs w:val="21"/>
              </w:rPr>
              <w:t>新建居住区：≥18</w:t>
            </w:r>
            <w:r>
              <w:rPr>
                <w:rFonts w:hint="eastAsia" w:ascii="Batang" w:hAnsi="Batang" w:eastAsia="Batang" w:cs="Batang"/>
                <w:szCs w:val="21"/>
              </w:rPr>
              <w:t>㎡</w:t>
            </w:r>
            <w:r>
              <w:rPr>
                <w:rFonts w:hint="eastAsia" w:ascii="仿宋_GB2312" w:eastAsia="仿宋_GB2312" w:cs="仿宋_GB2312"/>
                <w:szCs w:val="21"/>
              </w:rPr>
              <w:t>/人</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应独立占地，不宜大于36班。</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3</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体育场（馆）或全民健身中心</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≥2000</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可联合建设，且不得小于建筑面积0.1</w:t>
            </w:r>
            <w:r>
              <w:rPr>
                <w:rFonts w:hint="eastAsia" w:ascii="Batang" w:hAnsi="Batang" w:eastAsia="Batang" w:cs="Batang"/>
                <w:szCs w:val="21"/>
              </w:rPr>
              <w:t>㎡</w:t>
            </w:r>
            <w:r>
              <w:rPr>
                <w:rFonts w:hint="eastAsia" w:ascii="仿宋_GB2312" w:eastAsia="仿宋_GB2312" w:cs="仿宋_GB2312"/>
                <w:szCs w:val="21"/>
              </w:rPr>
              <w:t>/人。</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4</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大型多功能运动场地</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≥3150</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宜独立占地，可结合公共绿地等公共活动空间统筹布局。</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5</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中型多功能运动场地</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≥1310</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宜独立占地，可结合公共绿地等公共活动空间统筹布局。</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6</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卫生服务中心（社区医院）*</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≥1700</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可联合建设，应设置在建筑1-3层且有专用出入口。</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7</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养老院、老年养护院*</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hAnsi="仿宋_GB2312" w:cs="仿宋_GB2312"/>
                <w:szCs w:val="21"/>
              </w:rPr>
            </w:pPr>
            <w:r>
              <w:rPr>
                <w:rFonts w:hint="eastAsia" w:ascii="仿宋_GB2312" w:eastAsia="仿宋_GB2312" w:cs="仿宋_GB2312"/>
                <w:szCs w:val="21"/>
              </w:rPr>
              <w:t>≥3500</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≥1750</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宜独立占地，布局宜靠近社区医院、社区服务中心等设施。</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8</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文化活动中心（含青少年、老年活动中心）*</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≥3000</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可联合建设。</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9</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社区服务中心</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≥700</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可联合建设。</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10</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司法所</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≥80</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可联合建设。</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11</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派出所</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≥1000</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≥1000</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宜独立占地，如用地紧张可联合建设，但必须有独立出入口。</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12</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农贸市场、生鲜超市</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≥1000</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可联合建设，且不得小于建筑面积80</w:t>
            </w:r>
            <w:r>
              <w:rPr>
                <w:rFonts w:hint="eastAsia" w:ascii="Batang" w:hAnsi="Batang" w:eastAsia="Batang" w:cs="Batang"/>
                <w:szCs w:val="21"/>
              </w:rPr>
              <w:t>㎡</w:t>
            </w:r>
            <w:r>
              <w:rPr>
                <w:rFonts w:hint="eastAsia" w:ascii="仿宋_GB2312" w:eastAsia="仿宋_GB2312" w:cs="仿宋_GB2312"/>
                <w:szCs w:val="21"/>
              </w:rPr>
              <w:t>/千人。</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13</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开闭所*</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≥200</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≥500</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宜独立占地。</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14</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燃气调压站*</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50</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100-200</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可联合建设，根据专项规划设置。</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15</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垃圾转运站*</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应独立占地，根据专项规划设置。</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16</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公交首末站*</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可联合建设，根据专项规划设置。</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w:t>
            </w:r>
            <w:r>
              <w:rPr>
                <w:rFonts w:ascii="仿宋_GB2312" w:eastAsia="仿宋_GB2312" w:cs="仿宋_GB2312"/>
                <w:szCs w:val="21"/>
              </w:rPr>
              <w:t>7</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公交车站</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宜独立设置。</w:t>
            </w:r>
          </w:p>
        </w:tc>
      </w:tr>
      <w:tr>
        <w:tblPrEx>
          <w:tblCellMar>
            <w:top w:w="0" w:type="dxa"/>
            <w:left w:w="0" w:type="dxa"/>
            <w:bottom w:w="0" w:type="dxa"/>
            <w:right w:w="0" w:type="dxa"/>
          </w:tblCellMar>
        </w:tblPrEx>
        <w:trPr>
          <w:trHeight w:val="454" w:hRule="atLeast"/>
        </w:trPr>
        <w:tc>
          <w:tcPr>
            <w:tcW w:w="27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w:t>
            </w:r>
            <w:r>
              <w:rPr>
                <w:rFonts w:ascii="仿宋_GB2312" w:eastAsia="仿宋_GB2312" w:cs="仿宋_GB2312"/>
                <w:szCs w:val="21"/>
              </w:rPr>
              <w:t>8</w:t>
            </w:r>
          </w:p>
        </w:tc>
        <w:tc>
          <w:tcPr>
            <w:tcW w:w="556"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非机动车停车场</w:t>
            </w:r>
          </w:p>
        </w:tc>
        <w:tc>
          <w:tcPr>
            <w:tcW w:w="614"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48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41"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875"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≥3</w:t>
            </w:r>
            <w:r>
              <w:rPr>
                <w:rFonts w:ascii="仿宋_GB2312" w:eastAsia="仿宋_GB2312" w:cs="仿宋_GB2312"/>
                <w:szCs w:val="21"/>
              </w:rPr>
              <w:t>0</w:t>
            </w:r>
          </w:p>
        </w:tc>
        <w:tc>
          <w:tcPr>
            <w:tcW w:w="877" w:type="pct"/>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可综合设置。</w:t>
            </w:r>
          </w:p>
        </w:tc>
      </w:tr>
      <w:tr>
        <w:tblPrEx>
          <w:tblCellMar>
            <w:top w:w="0" w:type="dxa"/>
            <w:left w:w="0" w:type="dxa"/>
            <w:bottom w:w="0" w:type="dxa"/>
            <w:right w:w="0" w:type="dxa"/>
          </w:tblCellMar>
        </w:tblPrEx>
        <w:trPr>
          <w:trHeight w:val="454" w:hRule="atLeast"/>
        </w:trPr>
        <w:tc>
          <w:tcPr>
            <w:tcW w:w="5000" w:type="pct"/>
            <w:gridSpan w:val="8"/>
            <w:tcBorders>
              <w:top w:val="single" w:color="000000" w:sz="8" w:space="0"/>
              <w:left w:val="single" w:color="000000" w:sz="8" w:space="0"/>
              <w:bottom w:val="single" w:color="000000" w:sz="8" w:space="0"/>
              <w:right w:val="single" w:color="000000" w:sz="8" w:space="0"/>
            </w:tcBorders>
            <w:shd w:val="clear" w:color="auto" w:fill="auto"/>
            <w:tcMar>
              <w:top w:w="15" w:type="dxa"/>
              <w:left w:w="71" w:type="dxa"/>
              <w:right w:w="71" w:type="dxa"/>
            </w:tcMar>
            <w:vAlign w:val="center"/>
          </w:tcPr>
          <w:p>
            <w:pPr>
              <w:spacing w:line="240" w:lineRule="exact"/>
              <w:rPr>
                <w:rFonts w:ascii="仿宋_GB2312" w:eastAsia="仿宋_GB2312" w:cs="仿宋_GB2312"/>
                <w:szCs w:val="21"/>
              </w:rPr>
            </w:pPr>
            <w:r>
              <w:rPr>
                <w:rFonts w:hint="eastAsia" w:ascii="仿宋_GB2312" w:eastAsia="仿宋_GB2312" w:cs="仿宋_GB2312"/>
                <w:szCs w:val="21"/>
              </w:rPr>
              <w:t>注：</w:t>
            </w:r>
          </w:p>
          <w:p>
            <w:pPr>
              <w:spacing w:line="240" w:lineRule="exact"/>
              <w:rPr>
                <w:rFonts w:ascii="仿宋_GB2312" w:eastAsia="仿宋_GB2312" w:cs="仿宋_GB2312"/>
                <w:szCs w:val="21"/>
              </w:rPr>
            </w:pPr>
            <w:r>
              <w:rPr>
                <w:rFonts w:hint="eastAsia" w:ascii="仿宋_GB2312" w:eastAsia="仿宋_GB2312" w:cs="仿宋_GB2312"/>
                <w:szCs w:val="21"/>
              </w:rPr>
              <w:t>1.▲为应配建项目，△为根据实际情况按需配建的项目；</w:t>
            </w:r>
          </w:p>
          <w:p>
            <w:pPr>
              <w:spacing w:line="240" w:lineRule="exact"/>
              <w:rPr>
                <w:rFonts w:ascii="仿宋_GB2312" w:eastAsia="仿宋_GB2312" w:cs="仿宋_GB2312"/>
                <w:szCs w:val="21"/>
              </w:rPr>
            </w:pPr>
            <w:r>
              <w:rPr>
                <w:rFonts w:hint="eastAsia" w:ascii="仿宋_GB2312" w:eastAsia="仿宋_GB2312" w:cs="仿宋_GB2312"/>
                <w:szCs w:val="21"/>
              </w:rPr>
              <w:t>2</w:t>
            </w:r>
            <w:r>
              <w:rPr>
                <w:rFonts w:ascii="仿宋_GB2312" w:eastAsia="仿宋_GB2312" w:cs="仿宋_GB2312"/>
                <w:szCs w:val="21"/>
              </w:rPr>
              <w:t>.</w:t>
            </w:r>
            <w:r>
              <w:rPr>
                <w:rFonts w:hint="eastAsia" w:ascii="仿宋_GB2312" w:eastAsia="仿宋_GB2312" w:cs="仿宋_GB2312"/>
                <w:szCs w:val="21"/>
              </w:rPr>
              <w:t>加*的配件设施，其建筑面积与用地面积规模应满足国家相关规划标准有关规定。</w:t>
            </w:r>
          </w:p>
        </w:tc>
      </w:tr>
    </w:tbl>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黑体" w:eastAsia="黑体" w:cs="仿宋_GB2312"/>
          <w:sz w:val="32"/>
          <w:szCs w:val="32"/>
        </w:rPr>
      </w:pPr>
      <w:r>
        <w:rPr>
          <w:rFonts w:hint="eastAsia" w:ascii="黑体" w:eastAsia="黑体" w:cs="仿宋_GB2312"/>
          <w:sz w:val="32"/>
          <w:szCs w:val="32"/>
        </w:rPr>
        <w:t>附表3-2</w:t>
      </w:r>
    </w:p>
    <w:p>
      <w:pPr>
        <w:spacing w:line="560" w:lineRule="exact"/>
        <w:jc w:val="center"/>
        <w:rPr>
          <w:rFonts w:ascii="方正小标宋简体" w:eastAsia="方正小标宋简体" w:cs="仿宋_GB2312"/>
          <w:sz w:val="36"/>
          <w:szCs w:val="36"/>
        </w:rPr>
      </w:pPr>
    </w:p>
    <w:p>
      <w:pPr>
        <w:spacing w:line="560" w:lineRule="exact"/>
        <w:jc w:val="center"/>
        <w:rPr>
          <w:rFonts w:ascii="方正小标宋简体" w:eastAsia="方正小标宋简体" w:cs="仿宋_GB2312"/>
          <w:sz w:val="36"/>
          <w:szCs w:val="36"/>
        </w:rPr>
      </w:pPr>
      <w:r>
        <w:rPr>
          <w:rFonts w:hint="eastAsia" w:ascii="方正小标宋简体" w:eastAsia="方正小标宋简体" w:cs="仿宋_GB2312"/>
          <w:sz w:val="36"/>
          <w:szCs w:val="36"/>
        </w:rPr>
        <w:t>基层级配套设施规划建设控制要求表</w:t>
      </w:r>
    </w:p>
    <w:p>
      <w:pPr>
        <w:spacing w:line="560" w:lineRule="exact"/>
        <w:jc w:val="center"/>
        <w:rPr>
          <w:rFonts w:ascii="楷体_GB2312" w:eastAsia="楷体_GB2312" w:cs="仿宋_GB2312"/>
          <w:sz w:val="32"/>
          <w:szCs w:val="32"/>
        </w:rPr>
      </w:pPr>
      <w:r>
        <w:rPr>
          <w:rFonts w:hint="eastAsia" w:ascii="楷体_GB2312" w:eastAsia="楷体_GB2312" w:cs="仿宋_GB2312"/>
          <w:sz w:val="32"/>
          <w:szCs w:val="32"/>
        </w:rPr>
        <w:t>（5分钟生活圈居住区服务人口0.5—1.2万人，户均2.7人。）</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7"/>
        <w:gridCol w:w="1118"/>
        <w:gridCol w:w="1161"/>
        <w:gridCol w:w="1041"/>
        <w:gridCol w:w="1412"/>
        <w:gridCol w:w="1413"/>
        <w:gridCol w:w="2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97" w:type="dxa"/>
            <w:vMerge w:val="restar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序号</w:t>
            </w:r>
          </w:p>
        </w:tc>
        <w:tc>
          <w:tcPr>
            <w:tcW w:w="1118" w:type="dxa"/>
            <w:vMerge w:val="restar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设施名称</w:t>
            </w:r>
          </w:p>
        </w:tc>
        <w:tc>
          <w:tcPr>
            <w:tcW w:w="1056" w:type="dxa"/>
            <w:vMerge w:val="restar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5分钟生活圈</w:t>
            </w:r>
          </w:p>
          <w:p>
            <w:pPr>
              <w:spacing w:line="240" w:lineRule="exact"/>
              <w:jc w:val="center"/>
              <w:rPr>
                <w:rFonts w:ascii="仿宋_GB2312" w:eastAsia="仿宋_GB2312" w:cs="仿宋_GB2312"/>
                <w:szCs w:val="21"/>
              </w:rPr>
            </w:pPr>
            <w:r>
              <w:rPr>
                <w:rFonts w:hint="eastAsia" w:ascii="仿宋_GB2312" w:eastAsia="仿宋_GB2312" w:cs="仿宋_GB2312"/>
                <w:szCs w:val="21"/>
              </w:rPr>
              <w:t>（0.5-1.2万人）</w:t>
            </w:r>
          </w:p>
        </w:tc>
        <w:tc>
          <w:tcPr>
            <w:tcW w:w="3866" w:type="dxa"/>
            <w:gridSpan w:val="3"/>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设置要求</w:t>
            </w:r>
          </w:p>
        </w:tc>
        <w:tc>
          <w:tcPr>
            <w:tcW w:w="2297" w:type="dxa"/>
            <w:vMerge w:val="restar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Merge w:val="continue"/>
            <w:vAlign w:val="center"/>
          </w:tcPr>
          <w:p/>
        </w:tc>
        <w:tc>
          <w:tcPr>
            <w:tcW w:w="1118" w:type="dxa"/>
            <w:vMerge w:val="continue"/>
            <w:vAlign w:val="center"/>
          </w:tcPr>
          <w:p/>
        </w:tc>
        <w:tc>
          <w:tcPr>
            <w:tcW w:w="1056" w:type="dxa"/>
            <w:vMerge w:val="continue"/>
            <w:vAlign w:val="center"/>
          </w:tcPr>
          <w:p/>
        </w:tc>
        <w:tc>
          <w:tcPr>
            <w:tcW w:w="104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千人指标</w:t>
            </w:r>
          </w:p>
        </w:tc>
        <w:tc>
          <w:tcPr>
            <w:tcW w:w="141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建筑面积（</w:t>
            </w:r>
            <w:r>
              <w:rPr>
                <w:rFonts w:hint="eastAsia" w:ascii="Batang" w:hAnsi="Batang" w:eastAsia="Batang" w:cs="Batang"/>
                <w:szCs w:val="21"/>
              </w:rPr>
              <w:t>㎡</w:t>
            </w:r>
            <w:r>
              <w:rPr>
                <w:rFonts w:hint="eastAsia" w:ascii="仿宋_GB2312" w:eastAsia="仿宋_GB2312" w:cs="微软雅黑"/>
                <w:szCs w:val="21"/>
              </w:rPr>
              <w:t>）</w:t>
            </w:r>
          </w:p>
        </w:tc>
        <w:tc>
          <w:tcPr>
            <w:tcW w:w="1413"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用地面积（</w:t>
            </w:r>
            <w:r>
              <w:rPr>
                <w:rFonts w:hint="eastAsia" w:ascii="Batang" w:hAnsi="Batang" w:eastAsia="Batang" w:cs="Batang"/>
                <w:szCs w:val="21"/>
              </w:rPr>
              <w:t>㎡</w:t>
            </w:r>
            <w:r>
              <w:rPr>
                <w:rFonts w:hint="eastAsia" w:ascii="仿宋_GB2312" w:eastAsia="仿宋_GB2312" w:cs="微软雅黑"/>
                <w:szCs w:val="21"/>
              </w:rPr>
              <w:t>）</w:t>
            </w:r>
          </w:p>
        </w:tc>
        <w:tc>
          <w:tcPr>
            <w:tcW w:w="2297"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w:t>
            </w:r>
          </w:p>
        </w:tc>
        <w:tc>
          <w:tcPr>
            <w:tcW w:w="11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社区服务站</w:t>
            </w:r>
          </w:p>
        </w:tc>
        <w:tc>
          <w:tcPr>
            <w:tcW w:w="1056"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04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≥600</w:t>
            </w:r>
          </w:p>
        </w:tc>
        <w:tc>
          <w:tcPr>
            <w:tcW w:w="1413"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2297" w:type="dxa"/>
            <w:vMerge w:val="restar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可联合建设，联合建设时建筑面积不得小于900</w:t>
            </w:r>
            <w:r>
              <w:rPr>
                <w:rFonts w:hint="eastAsia" w:ascii="Batang" w:hAnsi="Batang" w:eastAsia="Batang" w:cs="Batang"/>
                <w:szCs w:val="21"/>
              </w:rPr>
              <w:t>㎡</w:t>
            </w:r>
            <w:r>
              <w:rPr>
                <w:rFonts w:hint="eastAsia" w:ascii="仿宋_GB2312" w:eastAsia="仿宋_GB2312" w:cs="仿宋_GB231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2</w:t>
            </w:r>
          </w:p>
        </w:tc>
        <w:tc>
          <w:tcPr>
            <w:tcW w:w="11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文化活动站</w:t>
            </w:r>
          </w:p>
        </w:tc>
        <w:tc>
          <w:tcPr>
            <w:tcW w:w="1056"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04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≥300</w:t>
            </w:r>
          </w:p>
        </w:tc>
        <w:tc>
          <w:tcPr>
            <w:tcW w:w="1413"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2297"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3</w:t>
            </w:r>
          </w:p>
        </w:tc>
        <w:tc>
          <w:tcPr>
            <w:tcW w:w="11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小型多功能运动场地</w:t>
            </w:r>
          </w:p>
        </w:tc>
        <w:tc>
          <w:tcPr>
            <w:tcW w:w="1056"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04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3"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≥770</w:t>
            </w:r>
          </w:p>
        </w:tc>
        <w:tc>
          <w:tcPr>
            <w:tcW w:w="2297" w:type="dxa"/>
            <w:vMerge w:val="restar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宜独立占地，可结合绿地合并设置，合并设置时用地面积不得小于920</w:t>
            </w:r>
            <w:r>
              <w:rPr>
                <w:rFonts w:hint="eastAsia" w:ascii="Batang" w:hAnsi="Batang" w:eastAsia="Batang" w:cs="Batang"/>
                <w:szCs w:val="21"/>
              </w:rPr>
              <w:t>㎡</w:t>
            </w:r>
            <w:r>
              <w:rPr>
                <w:rFonts w:hint="eastAsia" w:ascii="仿宋_GB2312" w:eastAsia="仿宋_GB2312" w:cs="微软雅黑"/>
                <w:szCs w:val="21"/>
              </w:rPr>
              <w:t>，且不得小于</w:t>
            </w:r>
            <w:r>
              <w:rPr>
                <w:rFonts w:hint="eastAsia" w:ascii="仿宋_GB2312" w:eastAsia="仿宋_GB2312" w:cs="仿宋_GB2312"/>
                <w:szCs w:val="21"/>
              </w:rPr>
              <w:t>0.15平方米/人。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4</w:t>
            </w:r>
          </w:p>
        </w:tc>
        <w:tc>
          <w:tcPr>
            <w:tcW w:w="11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室外综合健身场地</w:t>
            </w:r>
          </w:p>
        </w:tc>
        <w:tc>
          <w:tcPr>
            <w:tcW w:w="1056"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04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3"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≥150</w:t>
            </w:r>
          </w:p>
        </w:tc>
        <w:tc>
          <w:tcPr>
            <w:tcW w:w="2297"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5</w:t>
            </w:r>
          </w:p>
        </w:tc>
        <w:tc>
          <w:tcPr>
            <w:tcW w:w="11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幼儿园*</w:t>
            </w:r>
          </w:p>
        </w:tc>
        <w:tc>
          <w:tcPr>
            <w:tcW w:w="1056"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04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45</w:t>
            </w:r>
          </w:p>
        </w:tc>
        <w:tc>
          <w:tcPr>
            <w:tcW w:w="141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3" w:type="dxa"/>
            <w:vAlign w:val="center"/>
          </w:tcPr>
          <w:p>
            <w:pPr>
              <w:pStyle w:val="10"/>
              <w:spacing w:before="0" w:beforeAutospacing="0" w:after="0" w:afterAutospacing="0" w:line="240" w:lineRule="exact"/>
              <w:jc w:val="center"/>
              <w:rPr>
                <w:rFonts w:ascii="仿宋_GB2312" w:eastAsia="仿宋_GB2312" w:cs="仿宋_GB2312"/>
                <w:kern w:val="2"/>
                <w:sz w:val="21"/>
                <w:szCs w:val="21"/>
              </w:rPr>
            </w:pPr>
            <w:r>
              <w:rPr>
                <w:rFonts w:hint="eastAsia" w:ascii="仿宋_GB2312" w:eastAsia="仿宋_GB2312" w:cs="仿宋_GB2312"/>
                <w:kern w:val="2"/>
                <w:sz w:val="21"/>
                <w:szCs w:val="21"/>
              </w:rPr>
              <w:t>旧城改造：≥14</w:t>
            </w:r>
            <w:r>
              <w:rPr>
                <w:rFonts w:hint="eastAsia" w:ascii="Batang" w:hAnsi="Batang" w:eastAsia="Batang" w:cs="Batang"/>
                <w:kern w:val="2"/>
                <w:sz w:val="21"/>
                <w:szCs w:val="21"/>
              </w:rPr>
              <w:t>㎡</w:t>
            </w:r>
            <w:r>
              <w:rPr>
                <w:rFonts w:hint="eastAsia" w:ascii="仿宋_GB2312" w:eastAsia="仿宋_GB2312" w:cs="仿宋_GB2312"/>
                <w:kern w:val="2"/>
                <w:sz w:val="21"/>
                <w:szCs w:val="21"/>
              </w:rPr>
              <w:t>/人</w:t>
            </w:r>
          </w:p>
          <w:p>
            <w:pPr>
              <w:spacing w:line="240" w:lineRule="exact"/>
              <w:jc w:val="center"/>
              <w:rPr>
                <w:rFonts w:ascii="仿宋_GB2312" w:eastAsia="仿宋_GB2312" w:cs="仿宋_GB2312"/>
                <w:szCs w:val="21"/>
              </w:rPr>
            </w:pPr>
            <w:r>
              <w:rPr>
                <w:rFonts w:hint="eastAsia" w:ascii="仿宋_GB2312" w:eastAsia="仿宋_GB2312" w:cs="仿宋_GB2312"/>
                <w:szCs w:val="21"/>
              </w:rPr>
              <w:t>新建居住区：≥15</w:t>
            </w:r>
            <w:r>
              <w:rPr>
                <w:rFonts w:hint="eastAsia" w:ascii="Batang" w:hAnsi="Batang" w:eastAsia="Batang" w:cs="Batang"/>
                <w:szCs w:val="21"/>
              </w:rPr>
              <w:t>㎡</w:t>
            </w:r>
            <w:r>
              <w:rPr>
                <w:rFonts w:hint="eastAsia" w:ascii="仿宋_GB2312" w:eastAsia="仿宋_GB2312" w:cs="仿宋_GB2312"/>
                <w:szCs w:val="21"/>
              </w:rPr>
              <w:t>/人</w:t>
            </w:r>
          </w:p>
        </w:tc>
        <w:tc>
          <w:tcPr>
            <w:tcW w:w="22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应独立占地，不宜大于12班。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6</w:t>
            </w:r>
          </w:p>
        </w:tc>
        <w:tc>
          <w:tcPr>
            <w:tcW w:w="11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老年人日间照料中心、托老所*</w:t>
            </w:r>
          </w:p>
        </w:tc>
        <w:tc>
          <w:tcPr>
            <w:tcW w:w="1056"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04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≥350</w:t>
            </w:r>
          </w:p>
        </w:tc>
        <w:tc>
          <w:tcPr>
            <w:tcW w:w="1413"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22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可联合建设，根据需求设置休息设施。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7</w:t>
            </w:r>
          </w:p>
        </w:tc>
        <w:tc>
          <w:tcPr>
            <w:tcW w:w="11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卫生服务站*</w:t>
            </w:r>
          </w:p>
        </w:tc>
        <w:tc>
          <w:tcPr>
            <w:tcW w:w="1056"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04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≥150</w:t>
            </w:r>
          </w:p>
        </w:tc>
        <w:tc>
          <w:tcPr>
            <w:tcW w:w="1413"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22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可联合建设，应设置在建筑首层且有专用出入口。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8</w:t>
            </w:r>
          </w:p>
        </w:tc>
        <w:tc>
          <w:tcPr>
            <w:tcW w:w="11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公厕*</w:t>
            </w:r>
          </w:p>
        </w:tc>
        <w:tc>
          <w:tcPr>
            <w:tcW w:w="1056"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04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≥30</w:t>
            </w:r>
          </w:p>
        </w:tc>
        <w:tc>
          <w:tcPr>
            <w:tcW w:w="1413"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22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可联合建设。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9</w:t>
            </w:r>
          </w:p>
        </w:tc>
        <w:tc>
          <w:tcPr>
            <w:tcW w:w="11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生鲜超市</w:t>
            </w:r>
          </w:p>
        </w:tc>
        <w:tc>
          <w:tcPr>
            <w:tcW w:w="1056"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04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3"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22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可联合建设，且不得小于建筑面积80</w:t>
            </w:r>
            <w:r>
              <w:rPr>
                <w:rFonts w:hint="eastAsia" w:ascii="Batang" w:hAnsi="Batang" w:eastAsia="Batang" w:cs="Batang"/>
                <w:szCs w:val="21"/>
              </w:rPr>
              <w:t>㎡</w:t>
            </w:r>
            <w:r>
              <w:rPr>
                <w:rFonts w:hint="eastAsia" w:ascii="仿宋_GB2312" w:eastAsia="仿宋_GB2312" w:cs="仿宋_GB2312"/>
                <w:szCs w:val="21"/>
              </w:rPr>
              <w:t>/千人。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w:t>
            </w:r>
            <w:r>
              <w:rPr>
                <w:rFonts w:ascii="仿宋_GB2312" w:eastAsia="仿宋_GB2312" w:cs="仿宋_GB2312"/>
                <w:szCs w:val="21"/>
              </w:rPr>
              <w:t>0</w:t>
            </w:r>
          </w:p>
        </w:tc>
        <w:tc>
          <w:tcPr>
            <w:tcW w:w="11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非机动车停车场</w:t>
            </w:r>
          </w:p>
        </w:tc>
        <w:tc>
          <w:tcPr>
            <w:tcW w:w="1056"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04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3"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≥30</w:t>
            </w:r>
          </w:p>
        </w:tc>
        <w:tc>
          <w:tcPr>
            <w:tcW w:w="22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可联合建设。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gridSpan w:val="7"/>
            <w:vAlign w:val="center"/>
          </w:tcPr>
          <w:p>
            <w:pPr>
              <w:spacing w:line="240" w:lineRule="exact"/>
              <w:rPr>
                <w:rFonts w:ascii="仿宋_GB2312" w:eastAsia="仿宋_GB2312" w:cs="仿宋_GB2312"/>
                <w:szCs w:val="21"/>
              </w:rPr>
            </w:pPr>
            <w:r>
              <w:rPr>
                <w:rFonts w:hint="eastAsia" w:ascii="仿宋_GB2312" w:eastAsia="仿宋_GB2312" w:cs="仿宋_GB2312"/>
                <w:szCs w:val="21"/>
              </w:rPr>
              <w:t>注：</w:t>
            </w:r>
          </w:p>
          <w:p>
            <w:pPr>
              <w:spacing w:line="240" w:lineRule="exact"/>
              <w:rPr>
                <w:rFonts w:ascii="仿宋_GB2312" w:eastAsia="仿宋_GB2312" w:cs="仿宋_GB2312"/>
                <w:szCs w:val="21"/>
              </w:rPr>
            </w:pPr>
            <w:r>
              <w:rPr>
                <w:rFonts w:hint="eastAsia" w:ascii="仿宋_GB2312" w:eastAsia="仿宋_GB2312" w:cs="仿宋_GB2312"/>
                <w:szCs w:val="21"/>
              </w:rPr>
              <w:t>1.▲为应配建项目， △为根据实际情况按需配建的项目；</w:t>
            </w:r>
          </w:p>
          <w:p>
            <w:pPr>
              <w:spacing w:line="240" w:lineRule="exact"/>
              <w:rPr>
                <w:rFonts w:ascii="仿宋_GB2312" w:eastAsia="仿宋_GB2312" w:cs="仿宋_GB2312"/>
                <w:szCs w:val="21"/>
              </w:rPr>
            </w:pPr>
            <w:r>
              <w:rPr>
                <w:rFonts w:hint="eastAsia" w:ascii="仿宋_GB2312" w:eastAsia="仿宋_GB2312" w:cs="仿宋_GB2312"/>
                <w:szCs w:val="21"/>
              </w:rPr>
              <w:t>2</w:t>
            </w:r>
            <w:r>
              <w:rPr>
                <w:rFonts w:ascii="仿宋_GB2312" w:eastAsia="仿宋_GB2312" w:cs="仿宋_GB2312"/>
                <w:szCs w:val="21"/>
              </w:rPr>
              <w:t>.</w:t>
            </w:r>
            <w:r>
              <w:rPr>
                <w:rFonts w:hint="eastAsia" w:ascii="仿宋_GB2312" w:eastAsia="仿宋_GB2312" w:cs="仿宋_GB2312"/>
                <w:szCs w:val="21"/>
              </w:rPr>
              <w:t>加*的配件设施，其建筑面积与用地面积规模应满足国家相关规划标准有关规定。</w:t>
            </w:r>
          </w:p>
        </w:tc>
      </w:tr>
    </w:tbl>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黑体" w:eastAsia="黑体" w:cs="仿宋_GB2312"/>
          <w:sz w:val="32"/>
          <w:szCs w:val="32"/>
        </w:rPr>
      </w:pPr>
      <w:r>
        <w:rPr>
          <w:rFonts w:hint="eastAsia" w:ascii="黑体" w:eastAsia="黑体" w:cs="仿宋_GB2312"/>
          <w:sz w:val="32"/>
          <w:szCs w:val="32"/>
        </w:rPr>
        <w:t>附表3-3</w:t>
      </w:r>
    </w:p>
    <w:p>
      <w:pPr>
        <w:spacing w:line="560" w:lineRule="exact"/>
        <w:jc w:val="center"/>
        <w:rPr>
          <w:rFonts w:ascii="方正小标宋简体" w:eastAsia="方正小标宋简体" w:cs="仿宋_GB2312"/>
          <w:sz w:val="36"/>
          <w:szCs w:val="36"/>
        </w:rPr>
      </w:pPr>
    </w:p>
    <w:p>
      <w:pPr>
        <w:spacing w:line="560" w:lineRule="exact"/>
        <w:jc w:val="center"/>
        <w:rPr>
          <w:rFonts w:ascii="方正小标宋简体" w:eastAsia="方正小标宋简体" w:cs="仿宋_GB2312"/>
          <w:sz w:val="36"/>
          <w:szCs w:val="36"/>
        </w:rPr>
      </w:pPr>
      <w:r>
        <w:rPr>
          <w:rFonts w:hint="eastAsia" w:ascii="方正小标宋简体" w:eastAsia="方正小标宋简体" w:cs="仿宋_GB2312"/>
          <w:sz w:val="36"/>
          <w:szCs w:val="36"/>
        </w:rPr>
        <w:t>街坊级配套设施规划建设控制要求表</w:t>
      </w:r>
    </w:p>
    <w:p>
      <w:pPr>
        <w:spacing w:line="560" w:lineRule="exact"/>
        <w:jc w:val="center"/>
        <w:rPr>
          <w:rFonts w:ascii="楷体_GB2312" w:eastAsia="楷体_GB2312" w:cs="仿宋_GB2312"/>
          <w:sz w:val="28"/>
          <w:szCs w:val="28"/>
        </w:rPr>
      </w:pPr>
      <w:r>
        <w:rPr>
          <w:rFonts w:hint="eastAsia" w:ascii="楷体_GB2312" w:eastAsia="楷体_GB2312" w:cs="仿宋_GB2312"/>
          <w:sz w:val="28"/>
          <w:szCs w:val="28"/>
        </w:rPr>
        <w:t>（服务人口0.1—0.3万人，户均2.7人。）</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7"/>
        <w:gridCol w:w="1199"/>
        <w:gridCol w:w="851"/>
        <w:gridCol w:w="992"/>
        <w:gridCol w:w="1559"/>
        <w:gridCol w:w="1418"/>
        <w:gridCol w:w="2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Merge w:val="restar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序号</w:t>
            </w:r>
          </w:p>
        </w:tc>
        <w:tc>
          <w:tcPr>
            <w:tcW w:w="1199" w:type="dxa"/>
            <w:vMerge w:val="restar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设施名称</w:t>
            </w:r>
          </w:p>
        </w:tc>
        <w:tc>
          <w:tcPr>
            <w:tcW w:w="851" w:type="dxa"/>
            <w:vMerge w:val="restar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居住街坊</w:t>
            </w:r>
          </w:p>
        </w:tc>
        <w:tc>
          <w:tcPr>
            <w:tcW w:w="3969" w:type="dxa"/>
            <w:gridSpan w:val="3"/>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设置要求</w:t>
            </w:r>
          </w:p>
        </w:tc>
        <w:tc>
          <w:tcPr>
            <w:tcW w:w="2318" w:type="dxa"/>
            <w:vMerge w:val="restar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Merge w:val="continue"/>
            <w:vAlign w:val="center"/>
          </w:tcPr>
          <w:p/>
        </w:tc>
        <w:tc>
          <w:tcPr>
            <w:tcW w:w="1199" w:type="dxa"/>
            <w:vMerge w:val="continue"/>
            <w:vAlign w:val="center"/>
          </w:tcPr>
          <w:p/>
        </w:tc>
        <w:tc>
          <w:tcPr>
            <w:tcW w:w="851" w:type="dxa"/>
            <w:vMerge w:val="continue"/>
            <w:vAlign w:val="center"/>
          </w:tcPr>
          <w:p/>
        </w:tc>
        <w:tc>
          <w:tcPr>
            <w:tcW w:w="99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千人指标</w:t>
            </w:r>
          </w:p>
        </w:tc>
        <w:tc>
          <w:tcPr>
            <w:tcW w:w="1559"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建筑面积（</w:t>
            </w:r>
            <w:r>
              <w:rPr>
                <w:rFonts w:hint="eastAsia" w:ascii="Batang" w:hAnsi="Batang" w:eastAsia="Batang" w:cs="Batang"/>
                <w:szCs w:val="21"/>
              </w:rPr>
              <w:t>㎡</w:t>
            </w:r>
            <w:r>
              <w:rPr>
                <w:rFonts w:hint="eastAsia" w:ascii="仿宋_GB2312" w:eastAsia="仿宋_GB2312" w:cs="仿宋_GB2312"/>
                <w:szCs w:val="21"/>
              </w:rPr>
              <w:t>）</w:t>
            </w:r>
          </w:p>
        </w:tc>
        <w:tc>
          <w:tcPr>
            <w:tcW w:w="14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用地面积（</w:t>
            </w:r>
            <w:r>
              <w:rPr>
                <w:rFonts w:hint="eastAsia" w:ascii="Batang" w:hAnsi="Batang" w:eastAsia="Batang" w:cs="Batang"/>
                <w:szCs w:val="21"/>
              </w:rPr>
              <w:t>㎡</w:t>
            </w:r>
            <w:r>
              <w:rPr>
                <w:rFonts w:hint="eastAsia" w:ascii="仿宋_GB2312" w:eastAsia="仿宋_GB2312" w:cs="仿宋_GB2312"/>
                <w:szCs w:val="21"/>
              </w:rPr>
              <w:t>）</w:t>
            </w:r>
          </w:p>
        </w:tc>
        <w:tc>
          <w:tcPr>
            <w:tcW w:w="2318"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w:t>
            </w:r>
          </w:p>
        </w:tc>
        <w:tc>
          <w:tcPr>
            <w:tcW w:w="1199"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物业管理与服务用房</w:t>
            </w:r>
          </w:p>
        </w:tc>
        <w:tc>
          <w:tcPr>
            <w:tcW w:w="85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99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559"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23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总建筑面积不足10万平方米的，物业服务用房按照总建筑面积3‰的比例配置，最低不得低于90平方米；总建筑面积在10万平方米以上的，物业服务用房的配置以300平方米为起点，超过10万平方米的部分，按照超过部分建筑面积2‰的比例增加配置，超过50万平方米的部分，按照超过部分建筑面积1‰的比例增加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2</w:t>
            </w:r>
          </w:p>
        </w:tc>
        <w:tc>
          <w:tcPr>
            <w:tcW w:w="1199"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儿童老年人活动场地</w:t>
            </w:r>
          </w:p>
        </w:tc>
        <w:tc>
          <w:tcPr>
            <w:tcW w:w="85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99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559"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≥170</w:t>
            </w:r>
          </w:p>
        </w:tc>
        <w:tc>
          <w:tcPr>
            <w:tcW w:w="2318" w:type="dxa"/>
            <w:vMerge w:val="restar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宜独立占地，可结合绿地合并设置，且不得小于0.15平方米/人。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3</w:t>
            </w:r>
          </w:p>
        </w:tc>
        <w:tc>
          <w:tcPr>
            <w:tcW w:w="1199"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室外健身器械</w:t>
            </w:r>
          </w:p>
        </w:tc>
        <w:tc>
          <w:tcPr>
            <w:tcW w:w="85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99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559"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2318"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4</w:t>
            </w:r>
          </w:p>
        </w:tc>
        <w:tc>
          <w:tcPr>
            <w:tcW w:w="1199"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邮件快递送达设施</w:t>
            </w:r>
          </w:p>
        </w:tc>
        <w:tc>
          <w:tcPr>
            <w:tcW w:w="85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99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559"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10</w:t>
            </w:r>
          </w:p>
        </w:tc>
        <w:tc>
          <w:tcPr>
            <w:tcW w:w="23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可联合设置。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5</w:t>
            </w:r>
          </w:p>
        </w:tc>
        <w:tc>
          <w:tcPr>
            <w:tcW w:w="1199"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再生资源回收点</w:t>
            </w:r>
          </w:p>
        </w:tc>
        <w:tc>
          <w:tcPr>
            <w:tcW w:w="85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99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559"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10</w:t>
            </w:r>
          </w:p>
        </w:tc>
        <w:tc>
          <w:tcPr>
            <w:tcW w:w="23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可联合设置。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6</w:t>
            </w:r>
          </w:p>
        </w:tc>
        <w:tc>
          <w:tcPr>
            <w:tcW w:w="1199"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生活垃圾收集点*</w:t>
            </w:r>
          </w:p>
        </w:tc>
        <w:tc>
          <w:tcPr>
            <w:tcW w:w="85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992"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559"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≥20</w:t>
            </w:r>
          </w:p>
        </w:tc>
        <w:tc>
          <w:tcPr>
            <w:tcW w:w="14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2318"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宜独立设置。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gridSpan w:val="7"/>
            <w:vAlign w:val="center"/>
          </w:tcPr>
          <w:p>
            <w:pPr>
              <w:spacing w:line="240" w:lineRule="exact"/>
              <w:rPr>
                <w:rFonts w:ascii="仿宋_GB2312" w:eastAsia="仿宋_GB2312" w:cs="仿宋_GB2312"/>
                <w:szCs w:val="21"/>
              </w:rPr>
            </w:pPr>
            <w:r>
              <w:rPr>
                <w:rFonts w:hint="eastAsia" w:ascii="仿宋_GB2312" w:eastAsia="仿宋_GB2312" w:cs="仿宋_GB2312"/>
                <w:szCs w:val="21"/>
              </w:rPr>
              <w:t>注：</w:t>
            </w:r>
          </w:p>
          <w:p>
            <w:pPr>
              <w:spacing w:line="240" w:lineRule="exact"/>
              <w:rPr>
                <w:rFonts w:ascii="仿宋_GB2312" w:eastAsia="仿宋_GB2312" w:cs="仿宋_GB2312"/>
                <w:szCs w:val="21"/>
              </w:rPr>
            </w:pPr>
            <w:r>
              <w:rPr>
                <w:rFonts w:hint="eastAsia" w:ascii="仿宋_GB2312" w:eastAsia="仿宋_GB2312" w:cs="仿宋_GB2312"/>
                <w:szCs w:val="21"/>
              </w:rPr>
              <w:t>1.▲为应配建项目， △为根据实际情况按需配建的项目；</w:t>
            </w:r>
          </w:p>
          <w:p>
            <w:pPr>
              <w:spacing w:line="240" w:lineRule="exact"/>
              <w:rPr>
                <w:rFonts w:ascii="仿宋_GB2312" w:eastAsia="仿宋_GB2312" w:cs="仿宋_GB2312"/>
                <w:szCs w:val="21"/>
              </w:rPr>
            </w:pPr>
            <w:r>
              <w:rPr>
                <w:rFonts w:hint="eastAsia" w:ascii="仿宋_GB2312" w:eastAsia="仿宋_GB2312" w:cs="仿宋_GB2312"/>
                <w:szCs w:val="21"/>
              </w:rPr>
              <w:t>2.加*的配件设施，其建筑面积与用地面积规模应满足国家相关规划标准有关规定。</w:t>
            </w:r>
          </w:p>
        </w:tc>
      </w:tr>
    </w:tbl>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rPr>
          <w:rFonts w:ascii="黑体" w:eastAsia="黑体" w:cs="仿宋_GB2312"/>
          <w:sz w:val="32"/>
          <w:szCs w:val="32"/>
        </w:rPr>
      </w:pPr>
      <w:r>
        <w:rPr>
          <w:rFonts w:hint="eastAsia" w:ascii="黑体" w:eastAsia="黑体" w:cs="仿宋_GB2312"/>
          <w:sz w:val="32"/>
          <w:szCs w:val="32"/>
        </w:rPr>
        <w:t>附表4</w:t>
      </w:r>
    </w:p>
    <w:p>
      <w:pPr>
        <w:spacing w:line="560" w:lineRule="exact"/>
        <w:jc w:val="center"/>
        <w:rPr>
          <w:rFonts w:ascii="方正小标宋简体" w:eastAsia="方正小标宋简体" w:cs="仿宋_GB2312"/>
          <w:sz w:val="36"/>
          <w:szCs w:val="36"/>
        </w:rPr>
      </w:pPr>
    </w:p>
    <w:p>
      <w:pPr>
        <w:spacing w:line="560" w:lineRule="exact"/>
        <w:jc w:val="center"/>
        <w:rPr>
          <w:rFonts w:ascii="方正小标宋简体" w:eastAsia="方正小标宋简体" w:cs="仿宋_GB2312"/>
          <w:sz w:val="40"/>
          <w:szCs w:val="40"/>
        </w:rPr>
      </w:pPr>
      <w:r>
        <w:rPr>
          <w:rFonts w:hint="eastAsia" w:ascii="方正小标宋简体" w:eastAsia="方正小标宋简体" w:cs="仿宋_GB2312"/>
          <w:sz w:val="36"/>
          <w:szCs w:val="36"/>
        </w:rPr>
        <w:t>日照技术分析参数表</w:t>
      </w:r>
    </w:p>
    <w:tbl>
      <w:tblPr>
        <w:tblStyle w:val="11"/>
        <w:tblW w:w="5000" w:type="pct"/>
        <w:tblInd w:w="144" w:type="dxa"/>
        <w:tblLayout w:type="autofit"/>
        <w:tblCellMar>
          <w:top w:w="0" w:type="dxa"/>
          <w:left w:w="0" w:type="dxa"/>
          <w:bottom w:w="0" w:type="dxa"/>
          <w:right w:w="0" w:type="dxa"/>
        </w:tblCellMar>
      </w:tblPr>
      <w:tblGrid>
        <w:gridCol w:w="587"/>
        <w:gridCol w:w="3591"/>
        <w:gridCol w:w="1385"/>
        <w:gridCol w:w="1385"/>
        <w:gridCol w:w="2185"/>
      </w:tblGrid>
      <w:tr>
        <w:tblPrEx>
          <w:tblCellMar>
            <w:top w:w="0" w:type="dxa"/>
            <w:left w:w="0" w:type="dxa"/>
            <w:bottom w:w="0" w:type="dxa"/>
            <w:right w:w="0" w:type="dxa"/>
          </w:tblCellMar>
        </w:tblPrEx>
        <w:trPr>
          <w:trHeight w:val="584" w:hRule="atLeast"/>
        </w:trPr>
        <w:tc>
          <w:tcPr>
            <w:tcW w:w="322" w:type="pct"/>
            <w:vMerge w:val="restar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技</w:t>
            </w:r>
          </w:p>
          <w:p>
            <w:pPr>
              <w:spacing w:line="240" w:lineRule="exact"/>
              <w:jc w:val="center"/>
              <w:rPr>
                <w:rFonts w:ascii="仿宋_GB2312" w:eastAsia="仿宋_GB2312" w:cs="仿宋_GB2312"/>
                <w:szCs w:val="21"/>
              </w:rPr>
            </w:pPr>
            <w:r>
              <w:rPr>
                <w:rFonts w:hint="eastAsia" w:ascii="仿宋_GB2312" w:eastAsia="仿宋_GB2312" w:cs="仿宋_GB2312"/>
                <w:szCs w:val="21"/>
              </w:rPr>
              <w:t>术</w:t>
            </w:r>
          </w:p>
          <w:p>
            <w:pPr>
              <w:spacing w:line="240" w:lineRule="exact"/>
              <w:jc w:val="center"/>
              <w:rPr>
                <w:rFonts w:ascii="仿宋_GB2312" w:eastAsia="仿宋_GB2312" w:cs="仿宋_GB2312"/>
                <w:szCs w:val="21"/>
              </w:rPr>
            </w:pPr>
            <w:r>
              <w:rPr>
                <w:rFonts w:hint="eastAsia" w:ascii="仿宋_GB2312" w:eastAsia="仿宋_GB2312" w:cs="仿宋_GB2312"/>
                <w:szCs w:val="21"/>
              </w:rPr>
              <w:t>参</w:t>
            </w:r>
          </w:p>
          <w:p>
            <w:pPr>
              <w:spacing w:line="240" w:lineRule="exact"/>
              <w:jc w:val="center"/>
              <w:rPr>
                <w:rFonts w:ascii="仿宋_GB2312" w:eastAsia="仿宋_GB2312" w:cs="仿宋_GB2312"/>
                <w:szCs w:val="21"/>
              </w:rPr>
            </w:pPr>
            <w:r>
              <w:rPr>
                <w:rFonts w:hint="eastAsia" w:ascii="仿宋_GB2312" w:eastAsia="仿宋_GB2312" w:cs="仿宋_GB2312"/>
                <w:szCs w:val="21"/>
              </w:rPr>
              <w:t>数</w:t>
            </w:r>
          </w:p>
        </w:tc>
        <w:tc>
          <w:tcPr>
            <w:tcW w:w="1966"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分析标准日</w:t>
            </w:r>
          </w:p>
        </w:tc>
        <w:tc>
          <w:tcPr>
            <w:tcW w:w="1516" w:type="pct"/>
            <w:gridSpan w:val="2"/>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大寒</w:t>
            </w:r>
          </w:p>
        </w:tc>
        <w:tc>
          <w:tcPr>
            <w:tcW w:w="1196"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冬至</w:t>
            </w:r>
          </w:p>
        </w:tc>
      </w:tr>
      <w:tr>
        <w:tblPrEx>
          <w:tblCellMar>
            <w:top w:w="0" w:type="dxa"/>
            <w:left w:w="0" w:type="dxa"/>
            <w:bottom w:w="0" w:type="dxa"/>
            <w:right w:w="0" w:type="dxa"/>
          </w:tblCellMar>
        </w:tblPrEx>
        <w:trPr>
          <w:trHeight w:val="584" w:hRule="atLeast"/>
        </w:trPr>
        <w:tc>
          <w:tcPr>
            <w:tcW w:w="322" w:type="pct"/>
            <w:vMerge w:val="continue"/>
            <w:tcBorders>
              <w:top w:val="single" w:color="000000" w:sz="8" w:space="0"/>
              <w:left w:val="single" w:color="000000" w:sz="8" w:space="0"/>
              <w:bottom w:val="single" w:color="000000" w:sz="8" w:space="0"/>
              <w:right w:val="single" w:color="000000" w:sz="8" w:space="0"/>
            </w:tcBorders>
            <w:vAlign w:val="center"/>
          </w:tcPr>
          <w:p/>
        </w:tc>
        <w:tc>
          <w:tcPr>
            <w:tcW w:w="1966"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分析起止时间（太阳时）</w:t>
            </w:r>
          </w:p>
        </w:tc>
        <w:tc>
          <w:tcPr>
            <w:tcW w:w="1516" w:type="pct"/>
            <w:gridSpan w:val="2"/>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8:00-16:00</w:t>
            </w:r>
          </w:p>
        </w:tc>
        <w:tc>
          <w:tcPr>
            <w:tcW w:w="1196"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9:00-15:00</w:t>
            </w:r>
          </w:p>
        </w:tc>
      </w:tr>
      <w:tr>
        <w:tblPrEx>
          <w:tblCellMar>
            <w:top w:w="0" w:type="dxa"/>
            <w:left w:w="0" w:type="dxa"/>
            <w:bottom w:w="0" w:type="dxa"/>
            <w:right w:w="0" w:type="dxa"/>
          </w:tblCellMar>
        </w:tblPrEx>
        <w:trPr>
          <w:trHeight w:val="584" w:hRule="atLeast"/>
        </w:trPr>
        <w:tc>
          <w:tcPr>
            <w:tcW w:w="322" w:type="pct"/>
            <w:vMerge w:val="continue"/>
            <w:tcBorders>
              <w:top w:val="single" w:color="000000" w:sz="8" w:space="0"/>
              <w:left w:val="single" w:color="000000" w:sz="8" w:space="0"/>
              <w:bottom w:val="single" w:color="000000" w:sz="8" w:space="0"/>
              <w:right w:val="single" w:color="000000" w:sz="8" w:space="0"/>
            </w:tcBorders>
            <w:vAlign w:val="center"/>
          </w:tcPr>
          <w:p/>
        </w:tc>
        <w:tc>
          <w:tcPr>
            <w:tcW w:w="1966"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分析点经纬度</w:t>
            </w:r>
          </w:p>
        </w:tc>
        <w:tc>
          <w:tcPr>
            <w:tcW w:w="758"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贵阳市</w:t>
            </w:r>
          </w:p>
        </w:tc>
        <w:tc>
          <w:tcPr>
            <w:tcW w:w="1954" w:type="pct"/>
            <w:gridSpan w:val="2"/>
            <w:tcBorders>
              <w:top w:val="single" w:color="000000" w:sz="8" w:space="0"/>
              <w:left w:val="single" w:color="auto" w:sz="4" w:space="0"/>
              <w:bottom w:val="single" w:color="000000" w:sz="8" w:space="0"/>
              <w:right w:val="single" w:color="000000" w:sz="8" w:space="0"/>
            </w:tcBorders>
            <w:shd w:val="clear" w:color="auto" w:fill="auto"/>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北纬26°34′</w:t>
            </w:r>
          </w:p>
          <w:p>
            <w:pPr>
              <w:spacing w:line="240" w:lineRule="exact"/>
              <w:jc w:val="center"/>
              <w:rPr>
                <w:rFonts w:ascii="仿宋_GB2312" w:eastAsia="仿宋_GB2312" w:cs="仿宋_GB2312"/>
                <w:szCs w:val="21"/>
              </w:rPr>
            </w:pPr>
            <w:r>
              <w:rPr>
                <w:rFonts w:hint="eastAsia" w:ascii="仿宋_GB2312" w:eastAsia="仿宋_GB2312" w:cs="仿宋_GB2312"/>
                <w:szCs w:val="21"/>
              </w:rPr>
              <w:t>东经106°42′</w:t>
            </w:r>
          </w:p>
        </w:tc>
      </w:tr>
      <w:tr>
        <w:tblPrEx>
          <w:tblCellMar>
            <w:top w:w="0" w:type="dxa"/>
            <w:left w:w="0" w:type="dxa"/>
            <w:bottom w:w="0" w:type="dxa"/>
            <w:right w:w="0" w:type="dxa"/>
          </w:tblCellMar>
        </w:tblPrEx>
        <w:trPr>
          <w:trHeight w:val="584" w:hRule="atLeast"/>
        </w:trPr>
        <w:tc>
          <w:tcPr>
            <w:tcW w:w="322" w:type="pct"/>
            <w:vMerge w:val="continue"/>
            <w:tcBorders>
              <w:top w:val="single" w:color="000000" w:sz="8" w:space="0"/>
              <w:left w:val="single" w:color="000000" w:sz="8" w:space="0"/>
              <w:bottom w:val="single" w:color="000000" w:sz="8" w:space="0"/>
              <w:right w:val="single" w:color="000000" w:sz="8" w:space="0"/>
            </w:tcBorders>
            <w:vAlign w:val="center"/>
          </w:tcPr>
          <w:p/>
        </w:tc>
        <w:tc>
          <w:tcPr>
            <w:tcW w:w="1966"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分析采样间隔时间</w:t>
            </w:r>
          </w:p>
        </w:tc>
        <w:tc>
          <w:tcPr>
            <w:tcW w:w="2712" w:type="pct"/>
            <w:gridSpan w:val="3"/>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1分钟</w:t>
            </w:r>
          </w:p>
        </w:tc>
      </w:tr>
      <w:tr>
        <w:tblPrEx>
          <w:tblCellMar>
            <w:top w:w="0" w:type="dxa"/>
            <w:left w:w="0" w:type="dxa"/>
            <w:bottom w:w="0" w:type="dxa"/>
            <w:right w:w="0" w:type="dxa"/>
          </w:tblCellMar>
        </w:tblPrEx>
        <w:trPr>
          <w:trHeight w:val="584" w:hRule="atLeast"/>
        </w:trPr>
        <w:tc>
          <w:tcPr>
            <w:tcW w:w="322" w:type="pct"/>
            <w:vMerge w:val="continue"/>
            <w:tcBorders>
              <w:top w:val="single" w:color="000000" w:sz="8" w:space="0"/>
              <w:left w:val="single" w:color="000000" w:sz="8" w:space="0"/>
              <w:bottom w:val="single" w:color="000000" w:sz="8" w:space="0"/>
              <w:right w:val="single" w:color="000000" w:sz="8" w:space="0"/>
            </w:tcBorders>
            <w:vAlign w:val="center"/>
          </w:tcPr>
          <w:p/>
        </w:tc>
        <w:tc>
          <w:tcPr>
            <w:tcW w:w="1966"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分析高度</w:t>
            </w:r>
          </w:p>
        </w:tc>
        <w:tc>
          <w:tcPr>
            <w:tcW w:w="2712" w:type="pct"/>
            <w:gridSpan w:val="3"/>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有日照要求的建筑底层窗台起</w:t>
            </w:r>
          </w:p>
        </w:tc>
      </w:tr>
      <w:tr>
        <w:tblPrEx>
          <w:tblCellMar>
            <w:top w:w="0" w:type="dxa"/>
            <w:left w:w="0" w:type="dxa"/>
            <w:bottom w:w="0" w:type="dxa"/>
            <w:right w:w="0" w:type="dxa"/>
          </w:tblCellMar>
        </w:tblPrEx>
        <w:trPr>
          <w:trHeight w:val="584" w:hRule="atLeast"/>
        </w:trPr>
        <w:tc>
          <w:tcPr>
            <w:tcW w:w="322" w:type="pct"/>
            <w:vMerge w:val="continue"/>
            <w:tcBorders>
              <w:top w:val="single" w:color="000000" w:sz="8" w:space="0"/>
              <w:left w:val="single" w:color="000000" w:sz="8" w:space="0"/>
              <w:bottom w:val="single" w:color="000000" w:sz="8" w:space="0"/>
              <w:right w:val="single" w:color="000000" w:sz="8" w:space="0"/>
            </w:tcBorders>
            <w:vAlign w:val="center"/>
          </w:tcPr>
          <w:p/>
        </w:tc>
        <w:tc>
          <w:tcPr>
            <w:tcW w:w="1966"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计算方法</w:t>
            </w:r>
          </w:p>
        </w:tc>
        <w:tc>
          <w:tcPr>
            <w:tcW w:w="2712" w:type="pct"/>
            <w:gridSpan w:val="3"/>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总有效日照（累计）</w:t>
            </w:r>
          </w:p>
        </w:tc>
      </w:tr>
    </w:tbl>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rPr>
          <w:rFonts w:ascii="黑体" w:eastAsia="黑体" w:cs="仿宋_GB2312"/>
          <w:sz w:val="32"/>
          <w:szCs w:val="32"/>
        </w:rPr>
      </w:pPr>
      <w:r>
        <w:rPr>
          <w:rFonts w:hint="eastAsia" w:ascii="黑体" w:eastAsia="黑体" w:cs="仿宋_GB2312"/>
          <w:sz w:val="32"/>
          <w:szCs w:val="32"/>
        </w:rPr>
        <w:t>附表5</w:t>
      </w:r>
    </w:p>
    <w:p>
      <w:pPr>
        <w:spacing w:line="560" w:lineRule="exact"/>
        <w:jc w:val="center"/>
        <w:rPr>
          <w:rFonts w:ascii="方正小标宋简体" w:eastAsia="方正小标宋简体" w:cs="仿宋_GB2312"/>
          <w:sz w:val="36"/>
          <w:szCs w:val="36"/>
        </w:rPr>
      </w:pPr>
    </w:p>
    <w:p>
      <w:pPr>
        <w:spacing w:line="560" w:lineRule="exact"/>
        <w:jc w:val="center"/>
        <w:rPr>
          <w:rFonts w:ascii="方正小标宋简体" w:eastAsia="方正小标宋简体" w:cs="仿宋_GB2312"/>
          <w:sz w:val="40"/>
          <w:szCs w:val="40"/>
        </w:rPr>
      </w:pPr>
      <w:r>
        <w:rPr>
          <w:rFonts w:hint="eastAsia" w:ascii="方正小标宋简体" w:eastAsia="方正小标宋简体" w:cs="仿宋_GB2312"/>
          <w:sz w:val="36"/>
          <w:szCs w:val="36"/>
        </w:rPr>
        <w:t>住宅建筑各类朝向平行相对布置时的最小间距表</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1111"/>
        <w:gridCol w:w="1018"/>
        <w:gridCol w:w="1018"/>
        <w:gridCol w:w="2506"/>
        <w:gridCol w:w="2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020" w:type="pct"/>
            <w:gridSpan w:val="2"/>
            <w:vMerge w:val="restart"/>
          </w:tcPr>
          <w:p>
            <w:pPr>
              <w:spacing w:line="240" w:lineRule="exact"/>
              <w:jc w:val="right"/>
              <w:rPr>
                <w:rFonts w:ascii="仿宋_GB2312" w:eastAsia="仿宋_GB2312" w:cs="仿宋_GB2312"/>
                <w:szCs w:val="21"/>
              </w:rPr>
            </w:pPr>
            <w:r>
              <w:rPr>
                <w:rFonts w:hint="eastAsia" w:ascii="仿宋_GB2312" w:eastAsia="仿宋_GB2312"/>
                <w:bCs/>
                <w:szCs w:val="21"/>
              </w:rPr>
              <mc:AlternateContent>
                <mc:Choice Requires="wps">
                  <w:drawing>
                    <wp:anchor distT="0" distB="0" distL="113665" distR="113665" simplePos="0" relativeHeight="251659264" behindDoc="0" locked="0" layoutInCell="1" allowOverlap="1">
                      <wp:simplePos x="0" y="0"/>
                      <wp:positionH relativeFrom="column">
                        <wp:posOffset>484505</wp:posOffset>
                      </wp:positionH>
                      <wp:positionV relativeFrom="paragraph">
                        <wp:posOffset>-2540</wp:posOffset>
                      </wp:positionV>
                      <wp:extent cx="573405" cy="1030605"/>
                      <wp:effectExtent l="0" t="0" r="0" b="0"/>
                      <wp:wrapNone/>
                      <wp:docPr id="1" name="直接连接符 3"/>
                      <wp:cNvGraphicFramePr/>
                      <a:graphic xmlns:a="http://schemas.openxmlformats.org/drawingml/2006/main">
                        <a:graphicData uri="http://schemas.microsoft.com/office/word/2010/wordprocessingShape">
                          <wps:wsp>
                            <wps:cNvCnPr/>
                            <wps:spPr>
                              <a:xfrm flipH="1" flipV="1">
                                <a:off x="0" y="0"/>
                                <a:ext cx="573405" cy="1030604"/>
                              </a:xfrm>
                              <a:prstGeom prst="line">
                                <a:avLst/>
                              </a:prstGeom>
                              <a:noFill/>
                              <a:ln w="6350" cap="flat" cmpd="sng">
                                <a:solidFill>
                                  <a:srgbClr val="000000"/>
                                </a:solidFill>
                                <a:prstDash val="solid"/>
                                <a:round/>
                              </a:ln>
                            </wps:spPr>
                            <wps:bodyPr/>
                          </wps:wsp>
                        </a:graphicData>
                      </a:graphic>
                    </wp:anchor>
                  </w:drawing>
                </mc:Choice>
                <mc:Fallback>
                  <w:pict>
                    <v:line id="直接连接符 3" o:spid="_x0000_s1026" o:spt="20" style="position:absolute;left:0pt;flip:x y;margin-left:38.15pt;margin-top:-0.2pt;height:81.15pt;width:45.15pt;z-index:251659264;mso-width-relative:page;mso-height-relative:page;" filled="f" stroked="t" coordsize="21600,21600" o:gfxdata="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Ra2ktcA&#10;AAAIAQAADwAAAAAAAAABACAAAAAiAAAAZHJzL2Rvd25yZXYueG1sUEsBAhQAFAAAAAgAh07iQNSA&#10;pNPnAQAAsgMAAA4AAAAAAAAAAQAgAAAAJgEAAGRycy9lMm9Eb2MueG1sUEsFBgAAAAAGAAYAWQEA&#10;AH8FAAAAAA==&#10;">
                      <v:fill on="f" focussize="0,0"/>
                      <v:stroke weight="0.5pt" color="#000000" joinstyle="round"/>
                      <v:imagedata o:title=""/>
                      <o:lock v:ext="edit" aspectratio="f"/>
                    </v:line>
                  </w:pict>
                </mc:Fallback>
              </mc:AlternateContent>
            </w:r>
            <w:r>
              <w:rPr>
                <w:rFonts w:hint="eastAsia" w:ascii="仿宋_GB2312" w:eastAsia="仿宋_GB2312" w:cs="仿宋_GB2312"/>
                <w:szCs w:val="21"/>
              </w:rPr>
              <w:t>朝向</w:t>
            </w:r>
          </w:p>
          <w:p>
            <w:pPr>
              <w:spacing w:line="240" w:lineRule="exact"/>
              <w:jc w:val="center"/>
              <w:rPr>
                <w:rFonts w:ascii="仿宋_GB2312" w:eastAsia="仿宋_GB2312" w:cs="仿宋_GB2312"/>
                <w:szCs w:val="21"/>
              </w:rPr>
            </w:pPr>
            <w:r>
              <w:rPr>
                <w:rFonts w:hint="eastAsia" w:ascii="仿宋_GB2312" w:eastAsia="仿宋_GB2312" w:cs="仿宋_GB2312"/>
                <w:szCs w:val="21"/>
              </w:rPr>
              <w:t>最小</w:t>
            </w:r>
          </w:p>
          <w:p>
            <w:pPr>
              <w:spacing w:line="240" w:lineRule="exact"/>
              <w:jc w:val="center"/>
              <w:rPr>
                <w:rFonts w:ascii="仿宋_GB2312" w:eastAsia="仿宋_GB2312" w:cs="仿宋_GB2312"/>
                <w:szCs w:val="21"/>
              </w:rPr>
            </w:pPr>
            <w:r>
              <w:rPr>
                <w:rFonts w:hint="eastAsia" w:ascii="仿宋_GB2312" w:eastAsia="仿宋_GB2312"/>
                <w:bCs/>
                <w:szCs w:val="21"/>
              </w:rPr>
              <mc:AlternateContent>
                <mc:Choice Requires="wps">
                  <w:drawing>
                    <wp:anchor distT="0" distB="0" distL="113665" distR="113665" simplePos="0" relativeHeight="251659264" behindDoc="0" locked="0" layoutInCell="1" allowOverlap="1">
                      <wp:simplePos x="0" y="0"/>
                      <wp:positionH relativeFrom="column">
                        <wp:posOffset>-74295</wp:posOffset>
                      </wp:positionH>
                      <wp:positionV relativeFrom="paragraph">
                        <wp:posOffset>69850</wp:posOffset>
                      </wp:positionV>
                      <wp:extent cx="1132205" cy="436245"/>
                      <wp:effectExtent l="0" t="0" r="0" b="0"/>
                      <wp:wrapNone/>
                      <wp:docPr id="3" name="直接连接符 5"/>
                      <wp:cNvGraphicFramePr/>
                      <a:graphic xmlns:a="http://schemas.openxmlformats.org/drawingml/2006/main">
                        <a:graphicData uri="http://schemas.microsoft.com/office/word/2010/wordprocessingShape">
                          <wps:wsp>
                            <wps:cNvCnPr/>
                            <wps:spPr>
                              <a:xfrm flipH="1" flipV="1">
                                <a:off x="0" y="0"/>
                                <a:ext cx="1132205" cy="436244"/>
                              </a:xfrm>
                              <a:prstGeom prst="line">
                                <a:avLst/>
                              </a:prstGeom>
                              <a:noFill/>
                              <a:ln w="6350" cap="flat" cmpd="sng">
                                <a:solidFill>
                                  <a:srgbClr val="000000"/>
                                </a:solidFill>
                                <a:prstDash val="solid"/>
                                <a:round/>
                              </a:ln>
                            </wps:spPr>
                            <wps:bodyPr/>
                          </wps:wsp>
                        </a:graphicData>
                      </a:graphic>
                    </wp:anchor>
                  </w:drawing>
                </mc:Choice>
                <mc:Fallback>
                  <w:pict>
                    <v:line id="直接连接符 5" o:spid="_x0000_s1026" o:spt="20" style="position:absolute;left:0pt;flip:x y;margin-left:-5.85pt;margin-top:5.5pt;height:34.35pt;width:89.15pt;z-index:251659264;mso-width-relative:page;mso-height-relative:page;" filled="f" stroked="t" coordsize="21600,21600" o:gfxdata="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M9fYtcA&#10;AAAJAQAADwAAAAAAAAABACAAAAAiAAAAZHJzL2Rvd25yZXYueG1sUEsBAhQAFAAAAAgAh07iQFgu&#10;5+HnAQAAsgMAAA4AAAAAAAAAAQAgAAAAJgEAAGRycy9lMm9Eb2MueG1sUEsFBgAAAAAGAAYAWQEA&#10;AH8FAAAAAA==&#10;">
                      <v:fill on="f" focussize="0,0"/>
                      <v:stroke weight="0.5pt" color="#000000" joinstyle="round"/>
                      <v:imagedata o:title=""/>
                      <o:lock v:ext="edit" aspectratio="f"/>
                    </v:line>
                  </w:pict>
                </mc:Fallback>
              </mc:AlternateContent>
            </w:r>
            <w:r>
              <w:rPr>
                <w:rFonts w:hint="eastAsia" w:ascii="仿宋_GB2312" w:eastAsia="仿宋_GB2312" w:cs="仿宋_GB2312"/>
                <w:szCs w:val="21"/>
              </w:rPr>
              <w:t>间距</w:t>
            </w:r>
          </w:p>
          <w:p>
            <w:pPr>
              <w:spacing w:line="240" w:lineRule="exact"/>
              <w:rPr>
                <w:rFonts w:ascii="仿宋_GB2312" w:eastAsia="仿宋_GB2312" w:cs="仿宋_GB2312"/>
                <w:szCs w:val="21"/>
              </w:rPr>
            </w:pPr>
            <w:r>
              <w:rPr>
                <w:rFonts w:hint="eastAsia" w:ascii="仿宋_GB2312" w:eastAsia="仿宋_GB2312" w:cs="仿宋_GB2312"/>
                <w:szCs w:val="21"/>
              </w:rPr>
              <w:t>朝向</w:t>
            </w:r>
          </w:p>
        </w:tc>
        <w:tc>
          <w:tcPr>
            <w:tcW w:w="1124" w:type="pct"/>
            <w:gridSpan w:val="2"/>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多层建筑</w:t>
            </w:r>
          </w:p>
        </w:tc>
        <w:tc>
          <w:tcPr>
            <w:tcW w:w="2855" w:type="pct"/>
            <w:gridSpan w:val="2"/>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高层建筑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020" w:type="pct"/>
            <w:gridSpan w:val="2"/>
            <w:vMerge w:val="continue"/>
            <w:vAlign w:val="center"/>
          </w:tcPr>
          <w:p/>
        </w:tc>
        <w:tc>
          <w:tcPr>
            <w:tcW w:w="562"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纵墙</w:t>
            </w:r>
          </w:p>
        </w:tc>
        <w:tc>
          <w:tcPr>
            <w:tcW w:w="562"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山墙</w:t>
            </w:r>
          </w:p>
        </w:tc>
        <w:tc>
          <w:tcPr>
            <w:tcW w:w="1383"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主要采光面</w:t>
            </w:r>
          </w:p>
        </w:tc>
        <w:tc>
          <w:tcPr>
            <w:tcW w:w="1473"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次要采光面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08" w:type="pct"/>
            <w:vMerge w:val="restar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多层</w:t>
            </w:r>
          </w:p>
          <w:p>
            <w:pPr>
              <w:spacing w:line="240" w:lineRule="exact"/>
              <w:jc w:val="center"/>
              <w:rPr>
                <w:rFonts w:ascii="仿宋_GB2312" w:eastAsia="仿宋_GB2312" w:cs="仿宋_GB2312"/>
                <w:szCs w:val="21"/>
              </w:rPr>
            </w:pPr>
            <w:r>
              <w:rPr>
                <w:rFonts w:hint="eastAsia" w:ascii="仿宋_GB2312" w:eastAsia="仿宋_GB2312" w:cs="仿宋_GB2312"/>
                <w:szCs w:val="21"/>
              </w:rPr>
              <w:t>建筑</w:t>
            </w:r>
          </w:p>
        </w:tc>
        <w:tc>
          <w:tcPr>
            <w:tcW w:w="613"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纵墙</w:t>
            </w:r>
          </w:p>
        </w:tc>
        <w:tc>
          <w:tcPr>
            <w:tcW w:w="562"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1.1H且≥13米</w:t>
            </w:r>
          </w:p>
        </w:tc>
        <w:tc>
          <w:tcPr>
            <w:tcW w:w="562"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10米</w:t>
            </w:r>
          </w:p>
        </w:tc>
        <w:tc>
          <w:tcPr>
            <w:tcW w:w="1383" w:type="pct"/>
            <w:vAlign w:val="center"/>
          </w:tcPr>
          <w:p>
            <w:pPr>
              <w:spacing w:line="240" w:lineRule="exact"/>
              <w:rPr>
                <w:rFonts w:ascii="仿宋_GB2312" w:eastAsia="仿宋_GB2312" w:cs="仿宋_GB2312"/>
                <w:szCs w:val="21"/>
              </w:rPr>
            </w:pPr>
            <w:r>
              <w:rPr>
                <w:rFonts w:hint="eastAsia" w:ascii="仿宋_GB2312" w:eastAsia="仿宋_GB2312" w:cs="仿宋_GB2312"/>
                <w:szCs w:val="21"/>
              </w:rPr>
              <w:t>高层建筑位于南、</w:t>
            </w:r>
          </w:p>
          <w:p>
            <w:pPr>
              <w:spacing w:line="240" w:lineRule="exact"/>
              <w:rPr>
                <w:rFonts w:ascii="仿宋_GB2312" w:eastAsia="仿宋_GB2312" w:cs="仿宋_GB2312"/>
                <w:szCs w:val="21"/>
              </w:rPr>
            </w:pPr>
            <w:r>
              <w:rPr>
                <w:rFonts w:hint="eastAsia" w:ascii="仿宋_GB2312" w:eastAsia="仿宋_GB2312" w:cs="仿宋_GB2312"/>
                <w:szCs w:val="21"/>
              </w:rPr>
              <w:t>北侧：30米；</w:t>
            </w:r>
          </w:p>
          <w:p>
            <w:pPr>
              <w:spacing w:line="240" w:lineRule="exact"/>
              <w:rPr>
                <w:rFonts w:ascii="仿宋_GB2312" w:eastAsia="仿宋_GB2312" w:cs="仿宋_GB2312"/>
                <w:szCs w:val="21"/>
              </w:rPr>
            </w:pPr>
            <w:r>
              <w:rPr>
                <w:rFonts w:hint="eastAsia" w:ascii="仿宋_GB2312" w:eastAsia="仿宋_GB2312" w:cs="仿宋_GB2312"/>
                <w:szCs w:val="21"/>
              </w:rPr>
              <w:t>高层建筑位于东、西侧：</w:t>
            </w:r>
            <w:r>
              <w:rPr>
                <w:rFonts w:ascii="仿宋_GB2312" w:eastAsia="仿宋_GB2312" w:cs="仿宋_GB2312"/>
                <w:szCs w:val="21"/>
              </w:rPr>
              <w:t>24</w:t>
            </w:r>
            <w:r>
              <w:rPr>
                <w:rFonts w:hint="eastAsia" w:ascii="仿宋_GB2312" w:eastAsia="仿宋_GB2312" w:cs="仿宋_GB2312"/>
                <w:szCs w:val="21"/>
              </w:rPr>
              <w:t>米。</w:t>
            </w:r>
          </w:p>
        </w:tc>
        <w:tc>
          <w:tcPr>
            <w:tcW w:w="1473" w:type="pct"/>
            <w:vAlign w:val="center"/>
          </w:tcPr>
          <w:p>
            <w:pPr>
              <w:spacing w:line="240" w:lineRule="exact"/>
              <w:rPr>
                <w:rFonts w:ascii="仿宋_GB2312" w:eastAsia="仿宋_GB2312" w:cs="仿宋_GB2312"/>
                <w:szCs w:val="21"/>
              </w:rPr>
            </w:pPr>
            <w:r>
              <w:rPr>
                <w:rFonts w:hint="eastAsia" w:ascii="仿宋_GB2312" w:eastAsia="仿宋_GB2312" w:cs="仿宋_GB2312"/>
                <w:szCs w:val="21"/>
              </w:rPr>
              <w:t>高层建筑位于南侧：2</w:t>
            </w:r>
            <w:r>
              <w:rPr>
                <w:rFonts w:ascii="仿宋_GB2312" w:eastAsia="仿宋_GB2312" w:cs="仿宋_GB2312"/>
                <w:szCs w:val="21"/>
              </w:rPr>
              <w:t>4</w:t>
            </w:r>
            <w:r>
              <w:rPr>
                <w:rFonts w:hint="eastAsia" w:ascii="仿宋_GB2312" w:eastAsia="仿宋_GB2312" w:cs="仿宋_GB2312"/>
                <w:szCs w:val="21"/>
              </w:rPr>
              <w:t>米；</w:t>
            </w:r>
          </w:p>
          <w:p>
            <w:pPr>
              <w:spacing w:line="240" w:lineRule="exact"/>
              <w:rPr>
                <w:rFonts w:ascii="仿宋_GB2312" w:eastAsia="仿宋_GB2312" w:cs="仿宋_GB2312"/>
                <w:szCs w:val="21"/>
              </w:rPr>
            </w:pPr>
            <w:r>
              <w:rPr>
                <w:rFonts w:hint="eastAsia" w:ascii="仿宋_GB2312" w:eastAsia="仿宋_GB2312" w:cs="仿宋_GB2312"/>
                <w:szCs w:val="21"/>
              </w:rPr>
              <w:t>高层建筑位于北、东、西侧：20米。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08" w:type="pct"/>
            <w:vMerge w:val="continue"/>
            <w:vAlign w:val="center"/>
          </w:tcPr>
          <w:p/>
        </w:tc>
        <w:tc>
          <w:tcPr>
            <w:tcW w:w="613"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山墙</w:t>
            </w:r>
          </w:p>
        </w:tc>
        <w:tc>
          <w:tcPr>
            <w:tcW w:w="562"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562"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7米</w:t>
            </w:r>
          </w:p>
        </w:tc>
        <w:tc>
          <w:tcPr>
            <w:tcW w:w="1383"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13米</w:t>
            </w:r>
          </w:p>
        </w:tc>
        <w:tc>
          <w:tcPr>
            <w:tcW w:w="1473"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13米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408" w:type="pct"/>
            <w:vMerge w:val="restar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高层</w:t>
            </w:r>
          </w:p>
          <w:p>
            <w:pPr>
              <w:spacing w:line="240" w:lineRule="exact"/>
              <w:jc w:val="center"/>
              <w:rPr>
                <w:rFonts w:ascii="仿宋_GB2312" w:eastAsia="仿宋_GB2312" w:cs="仿宋_GB2312"/>
                <w:szCs w:val="21"/>
              </w:rPr>
            </w:pPr>
            <w:r>
              <w:rPr>
                <w:rFonts w:hint="eastAsia" w:ascii="仿宋_GB2312" w:eastAsia="仿宋_GB2312" w:cs="仿宋_GB2312"/>
                <w:szCs w:val="21"/>
              </w:rPr>
              <w:t>建筑</w:t>
            </w:r>
          </w:p>
        </w:tc>
        <w:tc>
          <w:tcPr>
            <w:tcW w:w="613"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主要采光面</w:t>
            </w:r>
          </w:p>
        </w:tc>
        <w:tc>
          <w:tcPr>
            <w:tcW w:w="562"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562"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383" w:type="pct"/>
            <w:vAlign w:val="center"/>
          </w:tcPr>
          <w:p>
            <w:pPr>
              <w:spacing w:line="240" w:lineRule="exact"/>
              <w:rPr>
                <w:rFonts w:ascii="仿宋_GB2312" w:eastAsia="仿宋_GB2312" w:cs="仿宋_GB2312"/>
                <w:szCs w:val="21"/>
              </w:rPr>
            </w:pPr>
            <w:r>
              <w:rPr>
                <w:rFonts w:hint="eastAsia" w:ascii="仿宋_GB2312" w:eastAsia="仿宋_GB2312" w:cs="仿宋_GB2312"/>
                <w:szCs w:val="21"/>
              </w:rPr>
              <w:t>南北向布置：3</w:t>
            </w:r>
            <w:r>
              <w:rPr>
                <w:rFonts w:ascii="仿宋_GB2312" w:eastAsia="仿宋_GB2312" w:cs="仿宋_GB2312"/>
                <w:szCs w:val="21"/>
              </w:rPr>
              <w:t>0</w:t>
            </w:r>
            <w:r>
              <w:rPr>
                <w:rFonts w:hint="eastAsia" w:ascii="仿宋_GB2312" w:eastAsia="仿宋_GB2312" w:cs="仿宋_GB2312"/>
                <w:szCs w:val="21"/>
              </w:rPr>
              <w:t>米；</w:t>
            </w:r>
          </w:p>
          <w:p>
            <w:pPr>
              <w:spacing w:line="240" w:lineRule="exact"/>
              <w:rPr>
                <w:rFonts w:ascii="仿宋_GB2312" w:eastAsia="仿宋_GB2312" w:cs="仿宋_GB2312"/>
                <w:szCs w:val="21"/>
              </w:rPr>
            </w:pPr>
            <w:r>
              <w:rPr>
                <w:rFonts w:hint="eastAsia" w:ascii="仿宋_GB2312" w:eastAsia="仿宋_GB2312" w:cs="仿宋_GB2312"/>
                <w:szCs w:val="21"/>
              </w:rPr>
              <w:t>东西向布置：2</w:t>
            </w:r>
            <w:r>
              <w:rPr>
                <w:rFonts w:ascii="仿宋_GB2312" w:eastAsia="仿宋_GB2312" w:cs="仿宋_GB2312"/>
                <w:szCs w:val="21"/>
              </w:rPr>
              <w:t>4</w:t>
            </w:r>
            <w:r>
              <w:rPr>
                <w:rFonts w:hint="eastAsia" w:ascii="仿宋_GB2312" w:eastAsia="仿宋_GB2312" w:cs="仿宋_GB2312"/>
                <w:szCs w:val="21"/>
              </w:rPr>
              <w:t>米</w:t>
            </w:r>
          </w:p>
        </w:tc>
        <w:tc>
          <w:tcPr>
            <w:tcW w:w="1473" w:type="pct"/>
            <w:vAlign w:val="center"/>
          </w:tcPr>
          <w:p>
            <w:pPr>
              <w:spacing w:line="240" w:lineRule="exact"/>
              <w:rPr>
                <w:rFonts w:ascii="仿宋_GB2312" w:eastAsia="仿宋_GB2312" w:cs="仿宋_GB2312"/>
                <w:szCs w:val="21"/>
              </w:rPr>
            </w:pPr>
            <w:r>
              <w:rPr>
                <w:rFonts w:hint="eastAsia" w:ascii="仿宋_GB2312" w:eastAsia="仿宋_GB2312" w:cs="仿宋_GB2312"/>
                <w:szCs w:val="21"/>
              </w:rPr>
              <w:t>次要采光面位于南侧：2</w:t>
            </w:r>
            <w:r>
              <w:rPr>
                <w:rFonts w:ascii="仿宋_GB2312" w:eastAsia="仿宋_GB2312" w:cs="仿宋_GB2312"/>
                <w:szCs w:val="21"/>
              </w:rPr>
              <w:t>4</w:t>
            </w:r>
            <w:r>
              <w:rPr>
                <w:rFonts w:hint="eastAsia" w:ascii="仿宋_GB2312" w:eastAsia="仿宋_GB2312" w:cs="仿宋_GB2312"/>
                <w:szCs w:val="21"/>
              </w:rPr>
              <w:t>米；</w:t>
            </w:r>
          </w:p>
          <w:p>
            <w:pPr>
              <w:spacing w:line="240" w:lineRule="exact"/>
              <w:rPr>
                <w:rFonts w:ascii="仿宋_GB2312" w:eastAsia="仿宋_GB2312" w:cs="仿宋_GB2312"/>
                <w:szCs w:val="21"/>
              </w:rPr>
            </w:pPr>
            <w:r>
              <w:rPr>
                <w:rFonts w:hint="eastAsia" w:ascii="仿宋_GB2312" w:eastAsia="仿宋_GB2312" w:cs="仿宋_GB2312"/>
                <w:szCs w:val="21"/>
              </w:rPr>
              <w:t>次要采光面位于北、东、西侧：20米。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08" w:type="pct"/>
            <w:vMerge w:val="continue"/>
            <w:vAlign w:val="center"/>
          </w:tcPr>
          <w:p/>
        </w:tc>
        <w:tc>
          <w:tcPr>
            <w:tcW w:w="613"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次要采光面</w:t>
            </w:r>
          </w:p>
        </w:tc>
        <w:tc>
          <w:tcPr>
            <w:tcW w:w="562"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562"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383"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73"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000" w:type="pct"/>
            <w:gridSpan w:val="6"/>
            <w:vAlign w:val="center"/>
          </w:tcPr>
          <w:p>
            <w:pPr>
              <w:spacing w:line="240" w:lineRule="exact"/>
              <w:rPr>
                <w:rFonts w:ascii="仿宋_GB2312" w:eastAsia="仿宋_GB2312" w:cs="仿宋_GB2312"/>
                <w:szCs w:val="21"/>
              </w:rPr>
            </w:pPr>
            <w:r>
              <w:rPr>
                <w:rFonts w:hint="eastAsia" w:ascii="仿宋_GB2312" w:eastAsia="仿宋_GB2312" w:cs="仿宋_GB2312"/>
                <w:szCs w:val="21"/>
              </w:rPr>
              <w:t>注：</w:t>
            </w:r>
          </w:p>
          <w:p>
            <w:pPr>
              <w:spacing w:line="240" w:lineRule="exact"/>
              <w:rPr>
                <w:rFonts w:ascii="仿宋_GB2312" w:eastAsia="仿宋_GB2312" w:cs="仿宋_GB2312"/>
                <w:szCs w:val="21"/>
              </w:rPr>
            </w:pPr>
            <w:r>
              <w:rPr>
                <w:rFonts w:hint="eastAsia" w:ascii="仿宋_GB2312" w:eastAsia="仿宋_GB2312" w:cs="仿宋_GB2312"/>
                <w:szCs w:val="21"/>
              </w:rPr>
              <w:t>1</w:t>
            </w:r>
            <w:r>
              <w:rPr>
                <w:rFonts w:ascii="仿宋_GB2312" w:eastAsia="仿宋_GB2312" w:cs="仿宋_GB2312"/>
                <w:szCs w:val="21"/>
              </w:rPr>
              <w:t>.</w:t>
            </w:r>
            <w:r>
              <w:rPr>
                <w:rFonts w:hint="eastAsia" w:ascii="仿宋_GB2312" w:eastAsia="仿宋_GB2312" w:cs="仿宋_GB2312"/>
                <w:szCs w:val="21"/>
              </w:rPr>
              <w:t>纵墙:是指多层住宅建筑卧室、起居室、餐厅、书房、健身房等主要功能房间和阳台开窗面，以及面宽大于15米的所有建筑面；</w:t>
            </w:r>
          </w:p>
          <w:p>
            <w:pPr>
              <w:spacing w:line="240" w:lineRule="exact"/>
              <w:rPr>
                <w:rFonts w:ascii="仿宋_GB2312" w:eastAsia="仿宋_GB2312" w:cs="仿宋_GB2312"/>
                <w:szCs w:val="21"/>
              </w:rPr>
            </w:pPr>
            <w:r>
              <w:rPr>
                <w:rFonts w:hint="eastAsia" w:ascii="仿宋_GB2312" w:eastAsia="仿宋_GB2312" w:cs="仿宋_GB2312"/>
                <w:szCs w:val="21"/>
              </w:rPr>
              <w:t>2</w:t>
            </w:r>
            <w:r>
              <w:rPr>
                <w:rFonts w:ascii="仿宋_GB2312" w:eastAsia="仿宋_GB2312" w:cs="仿宋_GB2312"/>
                <w:szCs w:val="21"/>
              </w:rPr>
              <w:t>.</w:t>
            </w:r>
            <w:r>
              <w:rPr>
                <w:rFonts w:hint="eastAsia" w:ascii="仿宋_GB2312" w:eastAsia="仿宋_GB2312" w:cs="仿宋_GB2312"/>
                <w:szCs w:val="21"/>
              </w:rPr>
              <w:t>山墙：是指多层住宅建筑仅设置面积不大于1.5平方米的卫生间、厨房、储物间、楼梯间等非主要功能房间窗，且面宽不大于15米的建筑面；</w:t>
            </w:r>
          </w:p>
          <w:p>
            <w:pPr>
              <w:spacing w:line="240" w:lineRule="exact"/>
              <w:rPr>
                <w:rFonts w:ascii="仿宋_GB2312" w:eastAsia="仿宋_GB2312" w:cs="仿宋_GB2312"/>
                <w:szCs w:val="21"/>
              </w:rPr>
            </w:pPr>
            <w:r>
              <w:rPr>
                <w:rFonts w:hint="eastAsia" w:ascii="仿宋_GB2312" w:eastAsia="仿宋_GB2312" w:cs="仿宋_GB2312"/>
                <w:szCs w:val="21"/>
              </w:rPr>
              <w:t>3</w:t>
            </w:r>
            <w:r>
              <w:rPr>
                <w:rFonts w:ascii="仿宋_GB2312" w:eastAsia="仿宋_GB2312" w:cs="仿宋_GB2312"/>
                <w:szCs w:val="21"/>
              </w:rPr>
              <w:t>.</w:t>
            </w:r>
            <w:r>
              <w:rPr>
                <w:rFonts w:hint="eastAsia" w:ascii="仿宋_GB2312" w:eastAsia="仿宋_GB2312" w:cs="仿宋_GB2312"/>
                <w:szCs w:val="21"/>
              </w:rPr>
              <w:t>主要采光面:是指高层住宅建筑卧室、起居室、餐厅、书房、健身房等主要功能房间和阳台开窗面，和面宽大于20米的所有建筑面；</w:t>
            </w:r>
          </w:p>
          <w:p>
            <w:pPr>
              <w:spacing w:line="240" w:lineRule="exact"/>
              <w:rPr>
                <w:rFonts w:ascii="仿宋_GB2312" w:eastAsia="仿宋_GB2312" w:cs="仿宋_GB2312"/>
                <w:szCs w:val="21"/>
              </w:rPr>
            </w:pPr>
            <w:r>
              <w:rPr>
                <w:rFonts w:hint="eastAsia" w:ascii="仿宋_GB2312" w:eastAsia="仿宋_GB2312" w:cs="仿宋_GB2312"/>
                <w:szCs w:val="21"/>
              </w:rPr>
              <w:t>4</w:t>
            </w:r>
            <w:r>
              <w:rPr>
                <w:rFonts w:ascii="仿宋_GB2312" w:eastAsia="仿宋_GB2312" w:cs="仿宋_GB2312"/>
                <w:szCs w:val="21"/>
              </w:rPr>
              <w:t>.</w:t>
            </w:r>
            <w:r>
              <w:rPr>
                <w:rFonts w:hint="eastAsia" w:ascii="仿宋_GB2312" w:eastAsia="仿宋_GB2312" w:cs="仿宋_GB2312"/>
                <w:szCs w:val="21"/>
              </w:rPr>
              <w:t>次要采光面：是指高层住宅建筑仅供卫生间、厨房、储物间、楼梯间等非主要功能房间开窗，且面宽不大于20米的建筑面。</w:t>
            </w:r>
          </w:p>
        </w:tc>
      </w:tr>
    </w:tbl>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28"/>
          <w:szCs w:val="28"/>
        </w:rPr>
      </w:pPr>
      <w:bookmarkStart w:id="5" w:name="_Hlk143795246"/>
    </w:p>
    <w:p>
      <w:pPr>
        <w:spacing w:line="560" w:lineRule="exact"/>
        <w:rPr>
          <w:rFonts w:ascii="黑体" w:eastAsia="黑体" w:cs="仿宋_GB2312"/>
          <w:sz w:val="32"/>
          <w:szCs w:val="32"/>
        </w:rPr>
      </w:pPr>
      <w:r>
        <w:rPr>
          <w:rFonts w:hint="eastAsia" w:ascii="黑体" w:eastAsia="黑体" w:cs="仿宋_GB2312"/>
          <w:sz w:val="32"/>
          <w:szCs w:val="32"/>
        </w:rPr>
        <w:t>附表6</w:t>
      </w:r>
    </w:p>
    <w:p>
      <w:pPr>
        <w:spacing w:line="560" w:lineRule="exact"/>
        <w:jc w:val="center"/>
        <w:rPr>
          <w:rFonts w:ascii="方正小标宋简体" w:eastAsia="方正小标宋简体" w:cs="仿宋_GB2312"/>
          <w:sz w:val="28"/>
          <w:szCs w:val="28"/>
        </w:rPr>
      </w:pPr>
    </w:p>
    <w:p>
      <w:pPr>
        <w:spacing w:line="560" w:lineRule="exact"/>
        <w:jc w:val="center"/>
        <w:rPr>
          <w:rFonts w:ascii="方正小标宋简体" w:eastAsia="方正小标宋简体" w:cs="仿宋_GB2312"/>
          <w:sz w:val="36"/>
          <w:szCs w:val="36"/>
        </w:rPr>
      </w:pPr>
      <w:r>
        <w:rPr>
          <w:rFonts w:hint="eastAsia" w:ascii="方正小标宋简体" w:eastAsia="方正小标宋简体" w:cs="仿宋_GB2312"/>
          <w:sz w:val="36"/>
          <w:szCs w:val="36"/>
        </w:rPr>
        <w:t>多层住宅纵墙平行相对布置时不同方位间距折减系数</w:t>
      </w:r>
      <w:bookmarkEnd w:id="5"/>
      <w:r>
        <w:rPr>
          <w:rFonts w:hint="eastAsia" w:ascii="方正小标宋简体" w:eastAsia="方正小标宋简体" w:cs="仿宋_GB2312"/>
          <w:sz w:val="36"/>
          <w:szCs w:val="36"/>
        </w:rPr>
        <w:t>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866"/>
        <w:gridCol w:w="1530"/>
        <w:gridCol w:w="1531"/>
        <w:gridCol w:w="1530"/>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846"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方位</w:t>
            </w:r>
          </w:p>
        </w:tc>
        <w:tc>
          <w:tcPr>
            <w:tcW w:w="1866"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0°～15°（含）</w:t>
            </w:r>
          </w:p>
        </w:tc>
        <w:tc>
          <w:tcPr>
            <w:tcW w:w="1530"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15°～30°（含）</w:t>
            </w:r>
          </w:p>
        </w:tc>
        <w:tc>
          <w:tcPr>
            <w:tcW w:w="153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30°～45°（含）</w:t>
            </w:r>
          </w:p>
        </w:tc>
        <w:tc>
          <w:tcPr>
            <w:tcW w:w="1530"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45°～60°（含）</w:t>
            </w:r>
          </w:p>
        </w:tc>
        <w:tc>
          <w:tcPr>
            <w:tcW w:w="153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60°～90°（含）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846"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折减系数</w:t>
            </w:r>
          </w:p>
        </w:tc>
        <w:tc>
          <w:tcPr>
            <w:tcW w:w="1866"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1.0L</w:t>
            </w:r>
          </w:p>
        </w:tc>
        <w:tc>
          <w:tcPr>
            <w:tcW w:w="1530"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0.9L</w:t>
            </w:r>
          </w:p>
        </w:tc>
        <w:tc>
          <w:tcPr>
            <w:tcW w:w="153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0.8L</w:t>
            </w:r>
          </w:p>
        </w:tc>
        <w:tc>
          <w:tcPr>
            <w:tcW w:w="1530"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0.9L</w:t>
            </w:r>
          </w:p>
        </w:tc>
        <w:tc>
          <w:tcPr>
            <w:tcW w:w="153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0.95L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9" w:hRule="atLeast"/>
        </w:trPr>
        <w:tc>
          <w:tcPr>
            <w:tcW w:w="8834" w:type="dxa"/>
            <w:gridSpan w:val="6"/>
            <w:vAlign w:val="center"/>
          </w:tcPr>
          <w:p>
            <w:pPr>
              <w:spacing w:line="240" w:lineRule="exact"/>
              <w:jc w:val="left"/>
              <w:rPr>
                <w:rFonts w:ascii="仿宋_GB2312" w:eastAsia="仿宋_GB2312" w:cs="仿宋_GB2312"/>
                <w:szCs w:val="21"/>
              </w:rPr>
            </w:pPr>
            <w:r>
              <w:rPr>
                <w:rFonts w:hint="eastAsia" w:ascii="仿宋_GB2312" w:eastAsia="仿宋_GB2312" w:cs="仿宋_GB2312"/>
                <w:szCs w:val="21"/>
              </w:rPr>
              <w:t>注：</w:t>
            </w:r>
          </w:p>
          <w:p>
            <w:pPr>
              <w:spacing w:line="240" w:lineRule="exact"/>
              <w:jc w:val="left"/>
              <w:rPr>
                <w:rFonts w:ascii="仿宋_GB2312" w:eastAsia="仿宋_GB2312" w:cs="仿宋_GB2312"/>
                <w:szCs w:val="21"/>
              </w:rPr>
            </w:pPr>
            <w:r>
              <w:rPr>
                <w:rFonts w:hint="eastAsia" w:ascii="仿宋_GB2312" w:eastAsia="仿宋_GB2312" w:cs="仿宋_GB2312"/>
                <w:szCs w:val="21"/>
              </w:rPr>
              <w:t>1.表中方位为正南向（0°）偏东、偏西的方位角（见附图2）；</w:t>
            </w:r>
          </w:p>
          <w:p>
            <w:pPr>
              <w:spacing w:line="240" w:lineRule="exact"/>
              <w:jc w:val="left"/>
              <w:rPr>
                <w:rFonts w:ascii="仿宋_GB2312" w:eastAsia="仿宋_GB2312" w:cs="仿宋_GB2312"/>
                <w:szCs w:val="21"/>
              </w:rPr>
            </w:pPr>
            <w:r>
              <w:rPr>
                <w:rFonts w:hint="eastAsia" w:ascii="仿宋_GB2312" w:eastAsia="仿宋_GB2312" w:cs="仿宋_GB2312"/>
                <w:szCs w:val="21"/>
              </w:rPr>
              <w:t>2.L为贵阳正南向住宅的标准日照间距；</w:t>
            </w:r>
          </w:p>
          <w:p>
            <w:pPr>
              <w:spacing w:line="240" w:lineRule="exact"/>
              <w:jc w:val="left"/>
              <w:rPr>
                <w:rFonts w:ascii="仿宋_GB2312" w:eastAsia="仿宋_GB2312" w:cs="仿宋_GB2312"/>
                <w:szCs w:val="21"/>
              </w:rPr>
            </w:pPr>
            <w:r>
              <w:rPr>
                <w:rFonts w:hint="eastAsia" w:ascii="仿宋_GB2312" w:eastAsia="仿宋_GB2312" w:cs="仿宋_GB2312"/>
                <w:szCs w:val="21"/>
              </w:rPr>
              <w:t>3.日照间距以南侧、东侧建筑高度计算。</w:t>
            </w:r>
          </w:p>
        </w:tc>
      </w:tr>
    </w:tbl>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黑体" w:eastAsia="黑体" w:cs="仿宋_GB2312"/>
          <w:sz w:val="32"/>
          <w:szCs w:val="32"/>
        </w:rPr>
      </w:pPr>
      <w:bookmarkStart w:id="6" w:name="_Hlk143795291"/>
      <w:r>
        <w:rPr>
          <w:rFonts w:hint="eastAsia" w:ascii="黑体" w:eastAsia="黑体" w:cs="仿宋_GB2312"/>
          <w:sz w:val="32"/>
          <w:szCs w:val="32"/>
        </w:rPr>
        <w:t>附表7</w:t>
      </w:r>
    </w:p>
    <w:p>
      <w:pPr>
        <w:spacing w:line="560" w:lineRule="exact"/>
        <w:jc w:val="center"/>
        <w:rPr>
          <w:rFonts w:ascii="方正小标宋简体" w:eastAsia="方正小标宋简体" w:cs="仿宋_GB2312"/>
          <w:sz w:val="36"/>
          <w:szCs w:val="36"/>
        </w:rPr>
      </w:pPr>
    </w:p>
    <w:p>
      <w:pPr>
        <w:spacing w:line="560" w:lineRule="exact"/>
        <w:jc w:val="center"/>
        <w:rPr>
          <w:rFonts w:ascii="方正小标宋简体" w:eastAsia="方正小标宋简体" w:cs="仿宋_GB2312"/>
          <w:sz w:val="36"/>
          <w:szCs w:val="36"/>
        </w:rPr>
      </w:pPr>
      <w:r>
        <w:rPr>
          <w:rFonts w:hint="eastAsia" w:ascii="仿宋_GB2312" w:eastAsia="仿宋_GB2312"/>
          <w:bCs/>
          <w:szCs w:val="21"/>
        </w:rPr>
        <mc:AlternateContent>
          <mc:Choice Requires="wps">
            <w:drawing>
              <wp:anchor distT="0" distB="0" distL="113665" distR="113665" simplePos="0" relativeHeight="251659264" behindDoc="0" locked="0" layoutInCell="1" allowOverlap="1">
                <wp:simplePos x="0" y="0"/>
                <wp:positionH relativeFrom="column">
                  <wp:posOffset>631190</wp:posOffset>
                </wp:positionH>
                <wp:positionV relativeFrom="paragraph">
                  <wp:posOffset>352425</wp:posOffset>
                </wp:positionV>
                <wp:extent cx="460375" cy="1056640"/>
                <wp:effectExtent l="0" t="0" r="34925" b="29210"/>
                <wp:wrapNone/>
                <wp:docPr id="5" name="直接连接符 6"/>
                <wp:cNvGraphicFramePr/>
                <a:graphic xmlns:a="http://schemas.openxmlformats.org/drawingml/2006/main">
                  <a:graphicData uri="http://schemas.microsoft.com/office/word/2010/wordprocessingShape">
                    <wps:wsp>
                      <wps:cNvCnPr/>
                      <wps:spPr>
                        <a:xfrm flipH="1" flipV="1">
                          <a:off x="0" y="0"/>
                          <a:ext cx="460375" cy="1056640"/>
                        </a:xfrm>
                        <a:prstGeom prst="line">
                          <a:avLst/>
                        </a:prstGeom>
                        <a:noFill/>
                        <a:ln w="6350" cap="flat" cmpd="sng">
                          <a:solidFill>
                            <a:srgbClr val="000000"/>
                          </a:solidFill>
                          <a:prstDash val="solid"/>
                          <a:round/>
                        </a:ln>
                      </wps:spPr>
                      <wps:bodyPr/>
                    </wps:wsp>
                  </a:graphicData>
                </a:graphic>
              </wp:anchor>
            </w:drawing>
          </mc:Choice>
          <mc:Fallback>
            <w:pict>
              <v:line id="直接连接符 6" o:spid="_x0000_s1026" o:spt="20" style="position:absolute;left:0pt;flip:x y;margin-left:49.7pt;margin-top:27.75pt;height:83.2pt;width:36.25pt;z-index:251659264;mso-width-relative:page;mso-height-relative:page;" filled="f" stroked="t" coordsize="21600,21600" o:gfxdata="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Xc&#10;S87YAAAACQEAAA8AAAAAAAAAAQAgAAAAIgAAAGRycy9kb3ducmV2LnhtbFBLAQIUABQAAAAIAIdO&#10;4kCORACG6gEAALIDAAAOAAAAAAAAAAEAIAAAACcBAABkcnMvZTJvRG9jLnhtbFBLBQYAAAAABgAG&#10;AFkBAACDBQAAAAA=&#10;">
                <v:fill on="f" focussize="0,0"/>
                <v:stroke weight="0.5pt" color="#000000" joinstyle="round"/>
                <v:imagedata o:title=""/>
                <o:lock v:ext="edit" aspectratio="f"/>
              </v:line>
            </w:pict>
          </mc:Fallback>
        </mc:AlternateContent>
      </w:r>
      <w:r>
        <w:rPr>
          <w:rFonts w:hint="eastAsia" w:ascii="方正小标宋简体" w:eastAsia="方正小标宋简体" w:cs="仿宋_GB2312"/>
          <w:sz w:val="36"/>
          <w:szCs w:val="36"/>
        </w:rPr>
        <w:t>公共建筑各类朝向平行相对布置时的最小间距</w:t>
      </w:r>
      <w:bookmarkEnd w:id="6"/>
      <w:r>
        <w:rPr>
          <w:rFonts w:hint="eastAsia" w:ascii="方正小标宋简体" w:eastAsia="方正小标宋简体" w:cs="仿宋_GB2312"/>
          <w:sz w:val="36"/>
          <w:szCs w:val="36"/>
        </w:rPr>
        <w:t>表</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1017"/>
        <w:gridCol w:w="926"/>
        <w:gridCol w:w="924"/>
        <w:gridCol w:w="2682"/>
        <w:gridCol w:w="2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1019" w:type="pct"/>
            <w:gridSpan w:val="2"/>
            <w:vMerge w:val="restart"/>
            <w:vAlign w:val="center"/>
          </w:tcPr>
          <w:p>
            <w:pPr>
              <w:spacing w:line="240" w:lineRule="exact"/>
              <w:jc w:val="right"/>
              <w:rPr>
                <w:rFonts w:ascii="仿宋_GB2312" w:eastAsia="仿宋_GB2312" w:cs="仿宋_GB2312"/>
                <w:szCs w:val="21"/>
              </w:rPr>
            </w:pPr>
            <w:r>
              <w:rPr>
                <w:rFonts w:hint="eastAsia" w:ascii="仿宋_GB2312" w:eastAsia="仿宋_GB2312" w:cs="仿宋_GB2312"/>
                <w:szCs w:val="21"/>
              </w:rPr>
              <w:t>朝向</w:t>
            </w:r>
          </w:p>
          <w:p>
            <w:pPr>
              <w:spacing w:line="240" w:lineRule="exact"/>
              <w:ind w:firstLine="315" w:firstLineChars="150"/>
              <w:rPr>
                <w:rFonts w:ascii="仿宋_GB2312" w:eastAsia="仿宋_GB2312" w:cs="仿宋_GB2312"/>
                <w:szCs w:val="21"/>
              </w:rPr>
            </w:pPr>
            <w:r>
              <w:rPr>
                <w:rFonts w:hint="eastAsia" w:ascii="仿宋_GB2312" w:eastAsia="仿宋_GB2312" w:cs="仿宋_GB2312"/>
                <w:szCs w:val="21"/>
              </w:rPr>
              <w:t>最小</w:t>
            </w:r>
          </w:p>
          <w:p>
            <w:pPr>
              <w:spacing w:line="240" w:lineRule="exact"/>
              <w:ind w:firstLine="315" w:firstLineChars="150"/>
              <w:rPr>
                <w:rFonts w:ascii="仿宋_GB2312" w:eastAsia="仿宋_GB2312" w:cs="仿宋_GB2312"/>
                <w:szCs w:val="21"/>
              </w:rPr>
            </w:pPr>
            <w:r>
              <w:rPr>
                <w:rFonts w:hint="eastAsia" w:ascii="仿宋_GB2312" w:eastAsia="仿宋_GB2312"/>
                <w:bCs/>
                <w:szCs w:val="21"/>
              </w:rPr>
              <mc:AlternateContent>
                <mc:Choice Requires="wps">
                  <w:drawing>
                    <wp:anchor distT="0" distB="0" distL="113665" distR="113665" simplePos="0" relativeHeight="251659264" behindDoc="0" locked="0" layoutInCell="1" allowOverlap="1">
                      <wp:simplePos x="0" y="0"/>
                      <wp:positionH relativeFrom="column">
                        <wp:posOffset>-55880</wp:posOffset>
                      </wp:positionH>
                      <wp:positionV relativeFrom="paragraph">
                        <wp:posOffset>100330</wp:posOffset>
                      </wp:positionV>
                      <wp:extent cx="1168400" cy="651510"/>
                      <wp:effectExtent l="0" t="0" r="31750" b="34290"/>
                      <wp:wrapNone/>
                      <wp:docPr id="7" name="直接连接符 7"/>
                      <wp:cNvGraphicFramePr/>
                      <a:graphic xmlns:a="http://schemas.openxmlformats.org/drawingml/2006/main">
                        <a:graphicData uri="http://schemas.microsoft.com/office/word/2010/wordprocessingShape">
                          <wps:wsp>
                            <wps:cNvCnPr/>
                            <wps:spPr>
                              <a:xfrm flipH="1" flipV="1">
                                <a:off x="0" y="0"/>
                                <a:ext cx="1168400" cy="651510"/>
                              </a:xfrm>
                              <a:prstGeom prst="line">
                                <a:avLst/>
                              </a:prstGeom>
                              <a:noFill/>
                              <a:ln w="6350" cap="flat" cmpd="sng">
                                <a:solidFill>
                                  <a:srgbClr val="000000"/>
                                </a:solidFill>
                                <a:prstDash val="solid"/>
                                <a:round/>
                              </a:ln>
                            </wps:spPr>
                            <wps:bodyPr/>
                          </wps:wsp>
                        </a:graphicData>
                      </a:graphic>
                    </wp:anchor>
                  </w:drawing>
                </mc:Choice>
                <mc:Fallback>
                  <w:pict>
                    <v:line id="_x0000_s1026" o:spid="_x0000_s1026" o:spt="20" style="position:absolute;left:0pt;flip:x y;margin-left:-4.4pt;margin-top:7.9pt;height:51.3pt;width:92pt;z-index:251659264;mso-width-relative:page;mso-height-relative:page;" filled="f" stroked="t" coordsize="21600,21600" o:gfxdata="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8koRfX&#10;AAAACQEAAA8AAAAAAAAAAQAgAAAAIgAAAGRycy9kb3ducmV2LnhtbFBLAQIUABQAAAAIAIdO4kCP&#10;EMPb6AEAALIDAAAOAAAAAAAAAAEAIAAAACYBAABkcnMvZTJvRG9jLnhtbFBLBQYAAAAABgAGAFkB&#10;AACABQAAAAA=&#10;">
                      <v:fill on="f" focussize="0,0"/>
                      <v:stroke weight="0.5pt" color="#000000" joinstyle="round"/>
                      <v:imagedata o:title=""/>
                      <o:lock v:ext="edit" aspectratio="f"/>
                    </v:line>
                  </w:pict>
                </mc:Fallback>
              </mc:AlternateContent>
            </w:r>
            <w:r>
              <w:rPr>
                <w:rFonts w:hint="eastAsia" w:ascii="仿宋_GB2312" w:eastAsia="仿宋_GB2312" w:cs="仿宋_GB2312"/>
                <w:szCs w:val="21"/>
              </w:rPr>
              <w:t>间距</w:t>
            </w:r>
          </w:p>
          <w:p>
            <w:pPr>
              <w:spacing w:line="240" w:lineRule="exact"/>
              <w:rPr>
                <w:rFonts w:ascii="仿宋_GB2312" w:eastAsia="仿宋_GB2312" w:cs="仿宋_GB2312"/>
                <w:szCs w:val="21"/>
              </w:rPr>
            </w:pPr>
            <w:r>
              <w:rPr>
                <w:rFonts w:hint="eastAsia" w:ascii="仿宋_GB2312" w:eastAsia="仿宋_GB2312" w:cs="仿宋_GB2312"/>
                <w:szCs w:val="21"/>
              </w:rPr>
              <w:t>朝向</w:t>
            </w:r>
          </w:p>
        </w:tc>
        <w:tc>
          <w:tcPr>
            <w:tcW w:w="1021" w:type="pct"/>
            <w:gridSpan w:val="2"/>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单、多层建筑</w:t>
            </w:r>
          </w:p>
        </w:tc>
        <w:tc>
          <w:tcPr>
            <w:tcW w:w="2960" w:type="pct"/>
            <w:gridSpan w:val="2"/>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高层建筑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019" w:type="pct"/>
            <w:gridSpan w:val="2"/>
            <w:vMerge w:val="continue"/>
            <w:vAlign w:val="center"/>
          </w:tcPr>
          <w:p/>
        </w:tc>
        <w:tc>
          <w:tcPr>
            <w:tcW w:w="51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纵墙</w:t>
            </w:r>
          </w:p>
        </w:tc>
        <w:tc>
          <w:tcPr>
            <w:tcW w:w="510"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山墙</w:t>
            </w:r>
          </w:p>
        </w:tc>
        <w:tc>
          <w:tcPr>
            <w:tcW w:w="1480"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主要采光面</w:t>
            </w:r>
          </w:p>
        </w:tc>
        <w:tc>
          <w:tcPr>
            <w:tcW w:w="1480"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次要采光面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trPr>
        <w:tc>
          <w:tcPr>
            <w:tcW w:w="458" w:type="pct"/>
            <w:vMerge w:val="restar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单、多层</w:t>
            </w:r>
          </w:p>
          <w:p>
            <w:pPr>
              <w:spacing w:line="240" w:lineRule="exact"/>
              <w:jc w:val="center"/>
              <w:rPr>
                <w:rFonts w:ascii="仿宋_GB2312" w:eastAsia="仿宋_GB2312" w:cs="仿宋_GB2312"/>
                <w:szCs w:val="21"/>
              </w:rPr>
            </w:pPr>
            <w:r>
              <w:rPr>
                <w:rFonts w:hint="eastAsia" w:ascii="仿宋_GB2312" w:eastAsia="仿宋_GB2312" w:cs="仿宋_GB2312"/>
                <w:szCs w:val="21"/>
              </w:rPr>
              <w:t>建筑</w:t>
            </w:r>
          </w:p>
        </w:tc>
        <w:tc>
          <w:tcPr>
            <w:tcW w:w="56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纵墙</w:t>
            </w:r>
          </w:p>
        </w:tc>
        <w:tc>
          <w:tcPr>
            <w:tcW w:w="51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13米</w:t>
            </w:r>
          </w:p>
        </w:tc>
        <w:tc>
          <w:tcPr>
            <w:tcW w:w="510"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10米</w:t>
            </w:r>
          </w:p>
        </w:tc>
        <w:tc>
          <w:tcPr>
            <w:tcW w:w="1480" w:type="pct"/>
            <w:vAlign w:val="center"/>
          </w:tcPr>
          <w:p>
            <w:pPr>
              <w:spacing w:line="240" w:lineRule="exact"/>
              <w:rPr>
                <w:rFonts w:ascii="仿宋_GB2312" w:eastAsia="仿宋_GB2312" w:cs="仿宋_GB2312"/>
                <w:szCs w:val="21"/>
              </w:rPr>
            </w:pPr>
            <w:r>
              <w:rPr>
                <w:rFonts w:hint="eastAsia" w:ascii="仿宋_GB2312" w:eastAsia="仿宋_GB2312" w:cs="仿宋_GB2312"/>
                <w:szCs w:val="21"/>
              </w:rPr>
              <w:t>高层建筑位于南侧：</w:t>
            </w:r>
          </w:p>
          <w:p>
            <w:pPr>
              <w:spacing w:line="240" w:lineRule="exact"/>
              <w:rPr>
                <w:rFonts w:ascii="仿宋_GB2312" w:eastAsia="仿宋_GB2312" w:cs="仿宋_GB2312"/>
                <w:szCs w:val="21"/>
              </w:rPr>
            </w:pPr>
            <w:r>
              <w:rPr>
                <w:rFonts w:hint="eastAsia" w:ascii="仿宋_GB2312" w:eastAsia="仿宋_GB2312" w:cs="仿宋_GB2312"/>
                <w:szCs w:val="21"/>
              </w:rPr>
              <w:t>面宽＜40米：2</w:t>
            </w:r>
            <w:r>
              <w:rPr>
                <w:rFonts w:ascii="仿宋_GB2312" w:eastAsia="仿宋_GB2312" w:cs="仿宋_GB2312"/>
                <w:szCs w:val="21"/>
              </w:rPr>
              <w:t>4</w:t>
            </w:r>
            <w:r>
              <w:rPr>
                <w:rFonts w:hint="eastAsia" w:ascii="仿宋_GB2312" w:eastAsia="仿宋_GB2312" w:cs="仿宋_GB2312"/>
                <w:szCs w:val="21"/>
              </w:rPr>
              <w:t>米、面宽≥40米：30米；</w:t>
            </w:r>
          </w:p>
          <w:p>
            <w:pPr>
              <w:spacing w:line="240" w:lineRule="exact"/>
              <w:rPr>
                <w:rFonts w:ascii="仿宋_GB2312" w:eastAsia="仿宋_GB2312" w:cs="仿宋_GB2312"/>
                <w:szCs w:val="21"/>
              </w:rPr>
            </w:pPr>
            <w:r>
              <w:rPr>
                <w:rFonts w:hint="eastAsia" w:ascii="仿宋_GB2312" w:eastAsia="仿宋_GB2312" w:cs="仿宋_GB2312"/>
                <w:szCs w:val="21"/>
              </w:rPr>
              <w:t>高层建筑位于东侧：</w:t>
            </w:r>
          </w:p>
          <w:p>
            <w:pPr>
              <w:spacing w:line="240" w:lineRule="exact"/>
              <w:rPr>
                <w:rFonts w:ascii="仿宋_GB2312" w:eastAsia="仿宋_GB2312" w:cs="仿宋_GB2312"/>
                <w:szCs w:val="21"/>
              </w:rPr>
            </w:pPr>
            <w:r>
              <w:rPr>
                <w:rFonts w:hint="eastAsia" w:ascii="仿宋_GB2312" w:eastAsia="仿宋_GB2312" w:cs="仿宋_GB2312"/>
                <w:szCs w:val="21"/>
              </w:rPr>
              <w:t>面宽＜40米：20米、面宽≥40米：2</w:t>
            </w:r>
            <w:r>
              <w:rPr>
                <w:rFonts w:ascii="仿宋_GB2312" w:eastAsia="仿宋_GB2312" w:cs="仿宋_GB2312"/>
                <w:szCs w:val="21"/>
              </w:rPr>
              <w:t>4</w:t>
            </w:r>
            <w:r>
              <w:rPr>
                <w:rFonts w:hint="eastAsia" w:ascii="仿宋_GB2312" w:eastAsia="仿宋_GB2312" w:cs="仿宋_GB2312"/>
                <w:szCs w:val="21"/>
              </w:rPr>
              <w:t>米；</w:t>
            </w:r>
          </w:p>
          <w:p>
            <w:pPr>
              <w:spacing w:line="240" w:lineRule="exact"/>
              <w:rPr>
                <w:rFonts w:ascii="仿宋_GB2312" w:eastAsia="仿宋_GB2312" w:cs="仿宋_GB2312"/>
                <w:szCs w:val="21"/>
              </w:rPr>
            </w:pPr>
            <w:r>
              <w:rPr>
                <w:rFonts w:hint="eastAsia" w:ascii="仿宋_GB2312" w:eastAsia="仿宋_GB2312" w:cs="仿宋_GB2312"/>
                <w:szCs w:val="21"/>
              </w:rPr>
              <w:t>高层建筑位于西、北侧：20米。</w:t>
            </w:r>
          </w:p>
        </w:tc>
        <w:tc>
          <w:tcPr>
            <w:tcW w:w="1480"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20米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458" w:type="pct"/>
            <w:vMerge w:val="continue"/>
            <w:vAlign w:val="center"/>
          </w:tcPr>
          <w:p/>
        </w:tc>
        <w:tc>
          <w:tcPr>
            <w:tcW w:w="56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山墙</w:t>
            </w:r>
          </w:p>
        </w:tc>
        <w:tc>
          <w:tcPr>
            <w:tcW w:w="51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510"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7米</w:t>
            </w:r>
          </w:p>
        </w:tc>
        <w:tc>
          <w:tcPr>
            <w:tcW w:w="1480"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13米</w:t>
            </w:r>
          </w:p>
        </w:tc>
        <w:tc>
          <w:tcPr>
            <w:tcW w:w="1480"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5" w:hRule="atLeast"/>
        </w:trPr>
        <w:tc>
          <w:tcPr>
            <w:tcW w:w="458" w:type="pct"/>
            <w:vMerge w:val="restar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高层</w:t>
            </w:r>
          </w:p>
          <w:p>
            <w:pPr>
              <w:spacing w:line="240" w:lineRule="exact"/>
              <w:jc w:val="center"/>
              <w:rPr>
                <w:rFonts w:ascii="仿宋_GB2312" w:eastAsia="仿宋_GB2312" w:cs="仿宋_GB2312"/>
                <w:szCs w:val="21"/>
              </w:rPr>
            </w:pPr>
            <w:r>
              <w:rPr>
                <w:rFonts w:hint="eastAsia" w:ascii="仿宋_GB2312" w:eastAsia="仿宋_GB2312" w:cs="仿宋_GB2312"/>
                <w:szCs w:val="21"/>
              </w:rPr>
              <w:t>建筑</w:t>
            </w:r>
          </w:p>
        </w:tc>
        <w:tc>
          <w:tcPr>
            <w:tcW w:w="56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主要采光面</w:t>
            </w:r>
          </w:p>
        </w:tc>
        <w:tc>
          <w:tcPr>
            <w:tcW w:w="51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510"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80" w:type="pct"/>
            <w:vAlign w:val="center"/>
          </w:tcPr>
          <w:p>
            <w:pPr>
              <w:spacing w:line="240" w:lineRule="exact"/>
              <w:rPr>
                <w:rFonts w:ascii="仿宋_GB2312" w:eastAsia="仿宋_GB2312" w:cs="仿宋_GB2312"/>
                <w:szCs w:val="21"/>
              </w:rPr>
            </w:pPr>
            <w:r>
              <w:rPr>
                <w:rFonts w:hint="eastAsia" w:ascii="仿宋_GB2312" w:eastAsia="仿宋_GB2312" w:cs="仿宋_GB2312"/>
                <w:szCs w:val="21"/>
              </w:rPr>
              <w:t>南北向布置：</w:t>
            </w:r>
          </w:p>
          <w:p>
            <w:pPr>
              <w:spacing w:line="240" w:lineRule="exact"/>
              <w:rPr>
                <w:rFonts w:ascii="仿宋_GB2312" w:eastAsia="仿宋_GB2312" w:cs="仿宋_GB2312"/>
                <w:szCs w:val="21"/>
              </w:rPr>
            </w:pPr>
            <w:r>
              <w:rPr>
                <w:rFonts w:hint="eastAsia" w:ascii="仿宋_GB2312" w:eastAsia="仿宋_GB2312" w:cs="仿宋_GB2312"/>
                <w:szCs w:val="21"/>
              </w:rPr>
              <w:t>南侧建筑面宽＜40米：2</w:t>
            </w:r>
            <w:r>
              <w:rPr>
                <w:rFonts w:ascii="仿宋_GB2312" w:eastAsia="仿宋_GB2312" w:cs="仿宋_GB2312"/>
                <w:szCs w:val="21"/>
              </w:rPr>
              <w:t>4</w:t>
            </w:r>
            <w:r>
              <w:rPr>
                <w:rFonts w:hint="eastAsia" w:ascii="仿宋_GB2312" w:eastAsia="仿宋_GB2312" w:cs="仿宋_GB2312"/>
                <w:szCs w:val="21"/>
              </w:rPr>
              <w:t>米；</w:t>
            </w:r>
          </w:p>
          <w:p>
            <w:pPr>
              <w:spacing w:line="240" w:lineRule="exact"/>
              <w:rPr>
                <w:rFonts w:ascii="仿宋_GB2312" w:eastAsia="仿宋_GB2312" w:cs="仿宋_GB2312"/>
                <w:szCs w:val="21"/>
              </w:rPr>
            </w:pPr>
            <w:r>
              <w:rPr>
                <w:rFonts w:hint="eastAsia" w:ascii="仿宋_GB2312" w:eastAsia="仿宋_GB2312" w:cs="仿宋_GB2312"/>
                <w:szCs w:val="21"/>
              </w:rPr>
              <w:t>南侧建筑面宽≥40米：30米</w:t>
            </w:r>
          </w:p>
          <w:p>
            <w:pPr>
              <w:spacing w:line="240" w:lineRule="exact"/>
              <w:rPr>
                <w:rFonts w:ascii="仿宋_GB2312" w:eastAsia="仿宋_GB2312" w:cs="仿宋_GB2312"/>
                <w:szCs w:val="21"/>
              </w:rPr>
            </w:pPr>
            <w:r>
              <w:rPr>
                <w:rFonts w:hint="eastAsia" w:ascii="仿宋_GB2312" w:eastAsia="仿宋_GB2312" w:cs="仿宋_GB2312"/>
                <w:szCs w:val="21"/>
              </w:rPr>
              <w:t>东西向布置：</w:t>
            </w:r>
          </w:p>
          <w:p>
            <w:pPr>
              <w:spacing w:line="240" w:lineRule="exact"/>
              <w:rPr>
                <w:rFonts w:ascii="仿宋_GB2312" w:eastAsia="仿宋_GB2312" w:cs="仿宋_GB2312"/>
                <w:szCs w:val="21"/>
              </w:rPr>
            </w:pPr>
            <w:r>
              <w:rPr>
                <w:rFonts w:hint="eastAsia" w:ascii="仿宋_GB2312" w:eastAsia="仿宋_GB2312" w:cs="仿宋_GB2312"/>
                <w:szCs w:val="21"/>
              </w:rPr>
              <w:t>东侧建筑面宽＜40米：20米；</w:t>
            </w:r>
          </w:p>
          <w:p>
            <w:pPr>
              <w:spacing w:line="240" w:lineRule="exact"/>
              <w:rPr>
                <w:rFonts w:ascii="仿宋_GB2312" w:eastAsia="仿宋_GB2312" w:cs="仿宋_GB2312"/>
                <w:szCs w:val="21"/>
              </w:rPr>
            </w:pPr>
            <w:r>
              <w:rPr>
                <w:rFonts w:hint="eastAsia" w:ascii="仿宋_GB2312" w:eastAsia="仿宋_GB2312" w:cs="仿宋_GB2312"/>
                <w:szCs w:val="21"/>
              </w:rPr>
              <w:t>东侧建筑面宽≥40米：2</w:t>
            </w:r>
            <w:r>
              <w:rPr>
                <w:rFonts w:ascii="仿宋_GB2312" w:eastAsia="仿宋_GB2312" w:cs="仿宋_GB2312"/>
                <w:szCs w:val="21"/>
              </w:rPr>
              <w:t>4</w:t>
            </w:r>
            <w:r>
              <w:rPr>
                <w:rFonts w:hint="eastAsia" w:ascii="仿宋_GB2312" w:eastAsia="仿宋_GB2312" w:cs="仿宋_GB2312"/>
                <w:szCs w:val="21"/>
              </w:rPr>
              <w:t>米。</w:t>
            </w:r>
          </w:p>
        </w:tc>
        <w:tc>
          <w:tcPr>
            <w:tcW w:w="1480" w:type="pct"/>
            <w:vAlign w:val="center"/>
          </w:tcPr>
          <w:p>
            <w:pPr>
              <w:spacing w:line="240" w:lineRule="exact"/>
              <w:rPr>
                <w:rFonts w:ascii="仿宋_GB2312" w:eastAsia="仿宋_GB2312" w:cs="仿宋_GB2312"/>
                <w:szCs w:val="21"/>
              </w:rPr>
            </w:pPr>
            <w:r>
              <w:rPr>
                <w:rFonts w:hint="eastAsia" w:ascii="仿宋_GB2312" w:eastAsia="仿宋_GB2312" w:cs="仿宋_GB2312"/>
                <w:szCs w:val="21"/>
              </w:rPr>
              <w:t>次要采光面位于南侧：2</w:t>
            </w:r>
            <w:r>
              <w:rPr>
                <w:rFonts w:ascii="仿宋_GB2312" w:eastAsia="仿宋_GB2312" w:cs="仿宋_GB2312"/>
                <w:szCs w:val="21"/>
              </w:rPr>
              <w:t>4</w:t>
            </w:r>
            <w:r>
              <w:rPr>
                <w:rFonts w:hint="eastAsia" w:ascii="仿宋_GB2312" w:eastAsia="仿宋_GB2312" w:cs="仿宋_GB2312"/>
                <w:szCs w:val="21"/>
              </w:rPr>
              <w:t>米；</w:t>
            </w:r>
          </w:p>
          <w:p>
            <w:pPr>
              <w:spacing w:line="240" w:lineRule="exact"/>
              <w:rPr>
                <w:rFonts w:ascii="仿宋_GB2312" w:eastAsia="仿宋_GB2312" w:cs="仿宋_GB2312"/>
                <w:szCs w:val="21"/>
              </w:rPr>
            </w:pPr>
            <w:r>
              <w:rPr>
                <w:rFonts w:hint="eastAsia" w:ascii="仿宋_GB2312" w:eastAsia="仿宋_GB2312" w:cs="仿宋_GB2312"/>
                <w:szCs w:val="21"/>
              </w:rPr>
              <w:t>次要采光面位于北、东、西侧布置：20米。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458" w:type="pct"/>
            <w:vMerge w:val="continue"/>
            <w:vAlign w:val="center"/>
          </w:tcPr>
          <w:p/>
        </w:tc>
        <w:tc>
          <w:tcPr>
            <w:tcW w:w="56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次要采光面</w:t>
            </w:r>
          </w:p>
        </w:tc>
        <w:tc>
          <w:tcPr>
            <w:tcW w:w="51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510"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80"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t>
            </w:r>
          </w:p>
        </w:tc>
        <w:tc>
          <w:tcPr>
            <w:tcW w:w="1480"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5000" w:type="pct"/>
            <w:gridSpan w:val="6"/>
            <w:vAlign w:val="center"/>
          </w:tcPr>
          <w:p>
            <w:pPr>
              <w:spacing w:line="240" w:lineRule="exact"/>
              <w:rPr>
                <w:rFonts w:ascii="仿宋_GB2312" w:eastAsia="仿宋_GB2312" w:cs="仿宋_GB2312"/>
                <w:szCs w:val="21"/>
              </w:rPr>
            </w:pPr>
            <w:r>
              <w:rPr>
                <w:rFonts w:hint="eastAsia" w:ascii="仿宋_GB2312" w:eastAsia="仿宋_GB2312" w:cs="仿宋_GB2312"/>
                <w:szCs w:val="21"/>
              </w:rPr>
              <w:t>注：</w:t>
            </w:r>
          </w:p>
          <w:p>
            <w:pPr>
              <w:spacing w:line="240" w:lineRule="exact"/>
              <w:rPr>
                <w:rFonts w:ascii="仿宋_GB2312" w:eastAsia="仿宋_GB2312" w:cs="仿宋_GB2312"/>
                <w:szCs w:val="21"/>
              </w:rPr>
            </w:pPr>
            <w:r>
              <w:rPr>
                <w:rFonts w:hint="eastAsia" w:ascii="仿宋_GB2312" w:eastAsia="仿宋_GB2312" w:cs="仿宋_GB2312"/>
                <w:szCs w:val="21"/>
              </w:rPr>
              <w:t>1</w:t>
            </w:r>
            <w:r>
              <w:rPr>
                <w:rFonts w:ascii="仿宋_GB2312" w:eastAsia="仿宋_GB2312" w:cs="仿宋_GB2312"/>
                <w:szCs w:val="21"/>
              </w:rPr>
              <w:t>.</w:t>
            </w:r>
            <w:r>
              <w:rPr>
                <w:rFonts w:hint="eastAsia" w:ascii="仿宋_GB2312" w:eastAsia="仿宋_GB2312" w:cs="仿宋_GB2312"/>
                <w:szCs w:val="21"/>
              </w:rPr>
              <w:t>纵墙:是指单、多层公共建筑主要功能房间和阳台开窗面，以及面宽大于15米的所有建筑面；</w:t>
            </w:r>
          </w:p>
          <w:p>
            <w:pPr>
              <w:spacing w:line="240" w:lineRule="exact"/>
              <w:rPr>
                <w:rFonts w:ascii="仿宋_GB2312" w:eastAsia="仿宋_GB2312" w:cs="仿宋_GB2312"/>
                <w:szCs w:val="21"/>
              </w:rPr>
            </w:pPr>
            <w:r>
              <w:rPr>
                <w:rFonts w:hint="eastAsia" w:ascii="仿宋_GB2312" w:eastAsia="仿宋_GB2312" w:cs="仿宋_GB2312"/>
                <w:szCs w:val="21"/>
              </w:rPr>
              <w:t>2</w:t>
            </w:r>
            <w:r>
              <w:rPr>
                <w:rFonts w:ascii="仿宋_GB2312" w:eastAsia="仿宋_GB2312" w:cs="仿宋_GB2312"/>
                <w:szCs w:val="21"/>
              </w:rPr>
              <w:t>.</w:t>
            </w:r>
            <w:r>
              <w:rPr>
                <w:rFonts w:hint="eastAsia" w:ascii="仿宋_GB2312" w:eastAsia="仿宋_GB2312" w:cs="仿宋_GB2312"/>
                <w:szCs w:val="21"/>
              </w:rPr>
              <w:t>山墙：指单、多层公共建筑仅设置面积不大于1.5平方米的卫生间、盥洗间、开水间、储物间、走道、楼梯间等非主要功能房间窗，且面宽不大于15米的建筑面；</w:t>
            </w:r>
          </w:p>
          <w:p>
            <w:pPr>
              <w:spacing w:line="240" w:lineRule="exact"/>
              <w:rPr>
                <w:rFonts w:ascii="仿宋_GB2312" w:eastAsia="仿宋_GB2312" w:cs="仿宋_GB2312"/>
                <w:szCs w:val="21"/>
              </w:rPr>
            </w:pPr>
            <w:r>
              <w:rPr>
                <w:rFonts w:hint="eastAsia" w:ascii="仿宋_GB2312" w:eastAsia="仿宋_GB2312" w:cs="仿宋_GB2312"/>
                <w:szCs w:val="21"/>
              </w:rPr>
              <w:t>3</w:t>
            </w:r>
            <w:r>
              <w:rPr>
                <w:rFonts w:ascii="仿宋_GB2312" w:eastAsia="仿宋_GB2312" w:cs="仿宋_GB2312"/>
                <w:szCs w:val="21"/>
              </w:rPr>
              <w:t>.</w:t>
            </w:r>
            <w:r>
              <w:rPr>
                <w:rFonts w:hint="eastAsia" w:ascii="仿宋_GB2312" w:eastAsia="仿宋_GB2312" w:cs="仿宋_GB2312"/>
                <w:szCs w:val="21"/>
              </w:rPr>
              <w:t>主要采光面:是指高层公共建筑中除建筑面宽小于等于20米并且仅供卫生间、盥洗间、厨房、储物间、开水间、楼梯间、内走廊等非主要功能房间开窗面以外的建筑面和面宽大于20米的所有建筑面；</w:t>
            </w:r>
          </w:p>
          <w:p>
            <w:pPr>
              <w:spacing w:line="240" w:lineRule="exact"/>
              <w:rPr>
                <w:rFonts w:ascii="仿宋_GB2312" w:eastAsia="仿宋_GB2312" w:cs="仿宋_GB2312"/>
                <w:szCs w:val="21"/>
              </w:rPr>
            </w:pPr>
            <w:r>
              <w:rPr>
                <w:rFonts w:hint="eastAsia" w:ascii="仿宋_GB2312" w:eastAsia="仿宋_GB2312" w:cs="仿宋_GB2312"/>
                <w:szCs w:val="21"/>
              </w:rPr>
              <w:t>4</w:t>
            </w:r>
            <w:r>
              <w:rPr>
                <w:rFonts w:ascii="仿宋_GB2312" w:eastAsia="仿宋_GB2312" w:cs="仿宋_GB2312"/>
                <w:szCs w:val="21"/>
              </w:rPr>
              <w:t>.</w:t>
            </w:r>
            <w:r>
              <w:rPr>
                <w:rFonts w:hint="eastAsia" w:ascii="仿宋_GB2312" w:eastAsia="仿宋_GB2312" w:cs="仿宋_GB2312"/>
                <w:szCs w:val="21"/>
              </w:rPr>
              <w:t>次要采光面：是指高层公共建筑仅供卫生间、盥洗间、厨房、储物间、开水间、楼梯间、内走廊等非主要功能房间开窗，且建筑面宽不大于20米的建筑面。</w:t>
            </w:r>
          </w:p>
        </w:tc>
      </w:tr>
    </w:tbl>
    <w:p>
      <w:pPr>
        <w:spacing w:line="560" w:lineRule="exact"/>
        <w:jc w:val="center"/>
        <w:rPr>
          <w:rFonts w:ascii="仿宋_GB2312" w:eastAsia="仿宋_GB2312" w:cs="仿宋_GB2312"/>
          <w:sz w:val="28"/>
          <w:szCs w:val="28"/>
        </w:rPr>
      </w:pPr>
    </w:p>
    <w:p>
      <w:pPr>
        <w:spacing w:line="560" w:lineRule="exact"/>
        <w:jc w:val="center"/>
        <w:rPr>
          <w:rFonts w:ascii="仿宋_GB2312" w:eastAsia="仿宋_GB2312" w:cs="仿宋_GB2312"/>
          <w:sz w:val="28"/>
          <w:szCs w:val="28"/>
        </w:rPr>
      </w:pPr>
    </w:p>
    <w:p>
      <w:pPr>
        <w:spacing w:line="560" w:lineRule="exact"/>
        <w:rPr>
          <w:rFonts w:ascii="仿宋_GB2312" w:eastAsia="仿宋_GB2312" w:cs="仿宋_GB2312"/>
          <w:sz w:val="28"/>
          <w:szCs w:val="28"/>
        </w:rPr>
      </w:pPr>
      <w:r>
        <w:rPr>
          <w:rFonts w:hint="eastAsia" w:ascii="黑体" w:eastAsia="黑体" w:cs="仿宋_GB2312"/>
          <w:sz w:val="32"/>
          <w:szCs w:val="32"/>
        </w:rPr>
        <w:t>附表8</w:t>
      </w:r>
      <w:r>
        <w:rPr>
          <w:rFonts w:ascii="仿宋_GB2312" w:eastAsia="仿宋_GB2312" w:cs="仿宋_GB2312"/>
          <w:sz w:val="28"/>
          <w:szCs w:val="28"/>
        </w:rPr>
        <w:t xml:space="preserve"> </w:t>
      </w:r>
    </w:p>
    <w:p>
      <w:pPr>
        <w:spacing w:line="560" w:lineRule="exact"/>
        <w:jc w:val="center"/>
        <w:rPr>
          <w:rFonts w:ascii="方正小标宋简体" w:eastAsia="方正小标宋简体" w:cs="仿宋_GB2312"/>
          <w:sz w:val="36"/>
          <w:szCs w:val="36"/>
        </w:rPr>
      </w:pPr>
    </w:p>
    <w:p>
      <w:pPr>
        <w:spacing w:line="560" w:lineRule="exact"/>
        <w:jc w:val="center"/>
        <w:rPr>
          <w:rFonts w:ascii="方正小标宋简体" w:eastAsia="方正小标宋简体" w:cs="仿宋_GB2312"/>
          <w:sz w:val="28"/>
          <w:szCs w:val="28"/>
        </w:rPr>
      </w:pPr>
      <w:r>
        <w:rPr>
          <w:rFonts w:hint="eastAsia" w:ascii="方正小标宋简体" w:eastAsia="方正小标宋简体" w:cs="仿宋_GB2312"/>
          <w:sz w:val="36"/>
          <w:szCs w:val="36"/>
        </w:rPr>
        <w:t>建筑退让城市道路红线距离控制表</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5"/>
        <w:gridCol w:w="2702"/>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901" w:type="pct"/>
            <w:vAlign w:val="center"/>
          </w:tcPr>
          <w:p>
            <w:pPr>
              <w:spacing w:line="240" w:lineRule="exact"/>
              <w:jc w:val="right"/>
              <w:rPr>
                <w:rFonts w:ascii="仿宋_GB2312" w:eastAsia="仿宋_GB2312" w:cs="仿宋_GB2312"/>
                <w:szCs w:val="21"/>
              </w:rPr>
            </w:pPr>
            <w:r>
              <w:rPr>
                <w:rFonts w:hint="eastAsia" w:ascii="仿宋_GB2312" w:eastAsia="仿宋_GB2312" w:cs="仿宋_GB2312"/>
                <w:szCs w:val="21"/>
              </w:rPr>
              <mc:AlternateContent>
                <mc:Choice Requires="wps">
                  <w:drawing>
                    <wp:anchor distT="0" distB="0" distL="113665" distR="113665" simplePos="0" relativeHeight="251659264" behindDoc="0" locked="0" layoutInCell="1" allowOverlap="1">
                      <wp:simplePos x="0" y="0"/>
                      <wp:positionH relativeFrom="column">
                        <wp:posOffset>175260</wp:posOffset>
                      </wp:positionH>
                      <wp:positionV relativeFrom="paragraph">
                        <wp:posOffset>-4445</wp:posOffset>
                      </wp:positionV>
                      <wp:extent cx="1887220" cy="1074420"/>
                      <wp:effectExtent l="0" t="0" r="0" b="0"/>
                      <wp:wrapNone/>
                      <wp:docPr id="9" name="直接连接符 8"/>
                      <wp:cNvGraphicFramePr/>
                      <a:graphic xmlns:a="http://schemas.openxmlformats.org/drawingml/2006/main">
                        <a:graphicData uri="http://schemas.microsoft.com/office/word/2010/wordprocessingShape">
                          <wps:wsp>
                            <wps:cNvCnPr/>
                            <wps:spPr>
                              <a:xfrm flipH="1" flipV="1">
                                <a:off x="0" y="0"/>
                                <a:ext cx="1887219" cy="1074420"/>
                              </a:xfrm>
                              <a:prstGeom prst="line">
                                <a:avLst/>
                              </a:prstGeom>
                              <a:noFill/>
                              <a:ln w="6350" cap="flat" cmpd="sng">
                                <a:solidFill>
                                  <a:srgbClr val="000000"/>
                                </a:solidFill>
                                <a:prstDash val="solid"/>
                                <a:round/>
                              </a:ln>
                            </wps:spPr>
                            <wps:bodyPr/>
                          </wps:wsp>
                        </a:graphicData>
                      </a:graphic>
                    </wp:anchor>
                  </w:drawing>
                </mc:Choice>
                <mc:Fallback>
                  <w:pict>
                    <v:line id="直接连接符 8" o:spid="_x0000_s1026" o:spt="20" style="position:absolute;left:0pt;flip:x y;margin-left:13.8pt;margin-top:-0.35pt;height:84.6pt;width:148.6pt;z-index:251659264;mso-width-relative:page;mso-height-relative:page;" filled="f" stroked="t" coordsize="21600,21600" o:gfxdata="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t9y&#10;iNcAAAAIAQAADwAAAAAAAAABACAAAAAiAAAAZHJzL2Rvd25yZXYueG1sUEsBAhQAFAAAAAgAh07i&#10;QKHfjEDqAQAAswMAAA4AAAAAAAAAAQAgAAAAJgEAAGRycy9lMm9Eb2MueG1sUEsFBgAAAAAGAAYA&#10;WQEAAIIFAAAAAA==&#10;">
                      <v:fill on="f" focussize="0,0"/>
                      <v:stroke weight="0.5pt" color="#000000" joinstyle="round"/>
                      <v:imagedata o:title=""/>
                      <o:lock v:ext="edit" aspectratio="f"/>
                    </v:line>
                  </w:pict>
                </mc:Fallback>
              </mc:AlternateContent>
            </w:r>
            <w:r>
              <w:rPr>
                <w:rFonts w:hint="eastAsia" w:ascii="仿宋_GB2312" w:eastAsia="仿宋_GB2312" w:cs="仿宋_GB2312"/>
                <w:szCs w:val="21"/>
              </w:rPr>
              <w:t>道路红线宽度(W)</w:t>
            </w:r>
          </w:p>
          <w:p>
            <w:pPr>
              <w:spacing w:before="156" w:beforeLines="50" w:line="240" w:lineRule="exact"/>
              <w:ind w:firstLine="315" w:firstLineChars="150"/>
              <w:rPr>
                <w:rFonts w:ascii="仿宋_GB2312" w:eastAsia="仿宋_GB2312" w:cs="仿宋_GB2312"/>
                <w:szCs w:val="21"/>
              </w:rPr>
            </w:pPr>
            <w:r>
              <w:rPr>
                <w:rFonts w:hint="eastAsia" w:ascii="仿宋_GB2312" w:eastAsia="仿宋_GB2312" w:cs="仿宋_GB2312"/>
                <w:szCs w:val="21"/>
              </w:rPr>
              <mc:AlternateContent>
                <mc:Choice Requires="wps">
                  <w:drawing>
                    <wp:anchor distT="0" distB="0" distL="113665" distR="113665" simplePos="0" relativeHeight="251659264" behindDoc="0" locked="0" layoutInCell="1" allowOverlap="1">
                      <wp:simplePos x="0" y="0"/>
                      <wp:positionH relativeFrom="column">
                        <wp:posOffset>-68580</wp:posOffset>
                      </wp:positionH>
                      <wp:positionV relativeFrom="paragraph">
                        <wp:posOffset>292100</wp:posOffset>
                      </wp:positionV>
                      <wp:extent cx="2129790" cy="485775"/>
                      <wp:effectExtent l="0" t="0" r="0" b="0"/>
                      <wp:wrapNone/>
                      <wp:docPr id="11" name="直接连接符 9"/>
                      <wp:cNvGraphicFramePr/>
                      <a:graphic xmlns:a="http://schemas.openxmlformats.org/drawingml/2006/main">
                        <a:graphicData uri="http://schemas.microsoft.com/office/word/2010/wordprocessingShape">
                          <wps:wsp>
                            <wps:cNvCnPr/>
                            <wps:spPr>
                              <a:xfrm flipH="1" flipV="1">
                                <a:off x="0" y="0"/>
                                <a:ext cx="2129789" cy="485774"/>
                              </a:xfrm>
                              <a:prstGeom prst="line">
                                <a:avLst/>
                              </a:prstGeom>
                              <a:noFill/>
                              <a:ln w="6350" cap="flat" cmpd="sng">
                                <a:solidFill>
                                  <a:srgbClr val="000000"/>
                                </a:solidFill>
                                <a:prstDash val="solid"/>
                                <a:round/>
                              </a:ln>
                            </wps:spPr>
                            <wps:bodyPr/>
                          </wps:wsp>
                        </a:graphicData>
                      </a:graphic>
                    </wp:anchor>
                  </w:drawing>
                </mc:Choice>
                <mc:Fallback>
                  <w:pict>
                    <v:line id="直接连接符 9" o:spid="_x0000_s1026" o:spt="20" style="position:absolute;left:0pt;flip:x y;margin-left:-5.4pt;margin-top:23pt;height:38.25pt;width:167.7pt;z-index:251659264;mso-width-relative:page;mso-height-relative:page;" filled="f" stroked="t" coordsize="21600,21600" o:gfxdata="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u3&#10;yiXYAAAACgEAAA8AAAAAAAAAAQAgAAAAIgAAAGRycy9kb3ducmV2LnhtbFBLAQIUABQAAAAIAIdO&#10;4kDhXMbd6gEAALMDAAAOAAAAAAAAAAEAIAAAACcBAABkcnMvZTJvRG9jLnhtbFBLBQYAAAAABgAG&#10;AFkBAACDBQAAAAA=&#10;">
                      <v:fill on="f" focussize="0,0"/>
                      <v:stroke weight="0.5pt" color="#000000" joinstyle="round"/>
                      <v:imagedata o:title=""/>
                      <o:lock v:ext="edit" aspectratio="f"/>
                    </v:line>
                  </w:pict>
                </mc:Fallback>
              </mc:AlternateContent>
            </w:r>
            <w:r>
              <w:rPr>
                <w:rFonts w:hint="eastAsia" w:ascii="仿宋_GB2312" w:eastAsia="仿宋_GB2312" w:cs="仿宋_GB2312"/>
                <w:szCs w:val="21"/>
              </w:rPr>
              <w:t xml:space="preserve">退让距离        </w:t>
            </w:r>
          </w:p>
          <w:p>
            <w:pPr>
              <w:spacing w:before="156" w:beforeLines="50" w:line="240" w:lineRule="exact"/>
              <w:rPr>
                <w:rFonts w:ascii="仿宋_GB2312" w:eastAsia="仿宋_GB2312" w:cs="仿宋_GB2312"/>
                <w:szCs w:val="21"/>
              </w:rPr>
            </w:pPr>
            <w:r>
              <w:rPr>
                <w:rFonts w:hint="eastAsia" w:ascii="仿宋_GB2312" w:eastAsia="仿宋_GB2312" w:cs="仿宋_GB2312"/>
                <w:szCs w:val="21"/>
              </w:rPr>
              <w:t>建筑高度（H）</w:t>
            </w:r>
          </w:p>
        </w:tc>
        <w:tc>
          <w:tcPr>
            <w:tcW w:w="149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W＜30米</w:t>
            </w:r>
          </w:p>
        </w:tc>
        <w:tc>
          <w:tcPr>
            <w:tcW w:w="1607"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W≥</w:t>
            </w:r>
            <w:r>
              <w:rPr>
                <w:rFonts w:ascii="仿宋_GB2312" w:eastAsia="仿宋_GB2312" w:cs="仿宋_GB2312"/>
                <w:szCs w:val="21"/>
              </w:rPr>
              <w:t>3</w:t>
            </w:r>
            <w:r>
              <w:rPr>
                <w:rFonts w:hint="eastAsia" w:ascii="仿宋_GB2312" w:eastAsia="仿宋_GB2312" w:cs="仿宋_GB2312"/>
                <w:szCs w:val="21"/>
              </w:rPr>
              <w:t>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90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H＜24米</w:t>
            </w:r>
          </w:p>
        </w:tc>
        <w:tc>
          <w:tcPr>
            <w:tcW w:w="149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5米</w:t>
            </w:r>
          </w:p>
        </w:tc>
        <w:tc>
          <w:tcPr>
            <w:tcW w:w="1607"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90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24≤H＜50米</w:t>
            </w:r>
          </w:p>
        </w:tc>
        <w:tc>
          <w:tcPr>
            <w:tcW w:w="149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8米</w:t>
            </w:r>
          </w:p>
        </w:tc>
        <w:tc>
          <w:tcPr>
            <w:tcW w:w="1607"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90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50米≤H＜100米</w:t>
            </w:r>
          </w:p>
        </w:tc>
        <w:tc>
          <w:tcPr>
            <w:tcW w:w="149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10米</w:t>
            </w:r>
          </w:p>
        </w:tc>
        <w:tc>
          <w:tcPr>
            <w:tcW w:w="1607"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12米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90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100米≤H＜150米</w:t>
            </w:r>
          </w:p>
        </w:tc>
        <w:tc>
          <w:tcPr>
            <w:tcW w:w="149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15米</w:t>
            </w:r>
          </w:p>
        </w:tc>
        <w:tc>
          <w:tcPr>
            <w:tcW w:w="1607"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901" w:type="pct"/>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H≥150米</w:t>
            </w:r>
          </w:p>
        </w:tc>
        <w:tc>
          <w:tcPr>
            <w:tcW w:w="3099" w:type="pct"/>
            <w:gridSpan w:val="2"/>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由自然资源和规划主管部门根据具体情况确定后，报市人民政府批准执行。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4" w:hRule="atLeast"/>
        </w:trPr>
        <w:tc>
          <w:tcPr>
            <w:tcW w:w="5000" w:type="pct"/>
            <w:gridSpan w:val="3"/>
            <w:vAlign w:val="center"/>
          </w:tcPr>
          <w:p>
            <w:pPr>
              <w:spacing w:line="240" w:lineRule="exact"/>
              <w:jc w:val="left"/>
              <w:rPr>
                <w:rFonts w:ascii="仿宋_GB2312" w:eastAsia="仿宋_GB2312" w:cs="仿宋_GB2312"/>
                <w:szCs w:val="21"/>
              </w:rPr>
            </w:pPr>
            <w:r>
              <w:rPr>
                <w:rFonts w:hint="eastAsia" w:ascii="仿宋_GB2312" w:eastAsia="仿宋_GB2312" w:cs="仿宋_GB2312"/>
                <w:szCs w:val="21"/>
              </w:rPr>
              <w:t>注：</w:t>
            </w:r>
          </w:p>
          <w:p>
            <w:pPr>
              <w:spacing w:line="240" w:lineRule="exact"/>
              <w:jc w:val="left"/>
              <w:rPr>
                <w:rFonts w:ascii="仿宋_GB2312" w:eastAsia="仿宋_GB2312" w:cs="仿宋_GB2312"/>
                <w:szCs w:val="21"/>
              </w:rPr>
            </w:pPr>
            <w:r>
              <w:rPr>
                <w:rFonts w:hint="eastAsia" w:ascii="仿宋_GB2312" w:eastAsia="仿宋_GB2312" w:cs="仿宋_GB2312"/>
                <w:szCs w:val="21"/>
              </w:rPr>
              <w:t>1.表中数字为控制的下限值；</w:t>
            </w:r>
          </w:p>
          <w:p>
            <w:pPr>
              <w:spacing w:line="240" w:lineRule="exact"/>
              <w:jc w:val="left"/>
              <w:rPr>
                <w:rFonts w:ascii="仿宋_GB2312" w:eastAsia="仿宋_GB2312" w:cs="仿宋_GB2312"/>
                <w:szCs w:val="21"/>
              </w:rPr>
            </w:pPr>
            <w:r>
              <w:rPr>
                <w:rFonts w:hint="eastAsia" w:ascii="仿宋_GB2312" w:eastAsia="仿宋_GB2312" w:cs="仿宋_GB2312"/>
                <w:szCs w:val="21"/>
              </w:rPr>
              <w:t>2.建筑物退让距离，以建筑物及建筑外挑部分沿城市道路一侧实际正投影线计算；</w:t>
            </w:r>
          </w:p>
          <w:p>
            <w:pPr>
              <w:spacing w:line="240" w:lineRule="exact"/>
              <w:jc w:val="left"/>
              <w:rPr>
                <w:rFonts w:ascii="仿宋_GB2312" w:eastAsia="仿宋_GB2312" w:cs="仿宋_GB2312"/>
                <w:szCs w:val="21"/>
              </w:rPr>
            </w:pPr>
            <w:r>
              <w:rPr>
                <w:rFonts w:hint="eastAsia" w:ascii="仿宋_GB2312" w:eastAsia="仿宋_GB2312" w:cs="仿宋_GB2312"/>
                <w:szCs w:val="21"/>
              </w:rPr>
              <w:t>3.建筑物退让市政设施距离视具体情况可纳入建筑物规划用地范围，并用作市政管线、城市轨道、道路拓宽车道等市政公用设施的建设；</w:t>
            </w:r>
          </w:p>
          <w:p>
            <w:pPr>
              <w:spacing w:line="240" w:lineRule="exact"/>
              <w:jc w:val="left"/>
              <w:rPr>
                <w:rFonts w:ascii="仿宋_GB2312" w:eastAsia="仿宋_GB2312" w:cs="仿宋_GB2312"/>
                <w:szCs w:val="21"/>
              </w:rPr>
            </w:pPr>
            <w:r>
              <w:rPr>
                <w:rFonts w:hint="eastAsia" w:ascii="仿宋_GB2312" w:eastAsia="仿宋_GB2312" w:cs="仿宋_GB2312"/>
                <w:szCs w:val="21"/>
              </w:rPr>
              <w:t>4.地下建筑应当退让用地边界不小于5米修建，相邻地块地下建筑连通时除外；</w:t>
            </w:r>
          </w:p>
          <w:p>
            <w:pPr>
              <w:spacing w:line="240" w:lineRule="exact"/>
              <w:jc w:val="left"/>
              <w:rPr>
                <w:rFonts w:ascii="仿宋_GB2312" w:eastAsia="仿宋_GB2312" w:cs="仿宋_GB2312"/>
                <w:szCs w:val="21"/>
              </w:rPr>
            </w:pPr>
            <w:r>
              <w:rPr>
                <w:rFonts w:hint="eastAsia" w:ascii="仿宋_GB2312" w:eastAsia="仿宋_GB2312" w:cs="仿宋_GB2312"/>
                <w:szCs w:val="21"/>
              </w:rPr>
              <w:t>5.地下建筑临城市道路应当退让城市道路红线不小于5米修建。</w:t>
            </w:r>
          </w:p>
        </w:tc>
      </w:tr>
    </w:tbl>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28"/>
          <w:szCs w:val="28"/>
        </w:rPr>
      </w:pPr>
      <w:r>
        <w:rPr>
          <w:rFonts w:hint="eastAsia" w:ascii="黑体" w:eastAsia="黑体" w:cs="仿宋_GB2312"/>
          <w:sz w:val="32"/>
          <w:szCs w:val="32"/>
        </w:rPr>
        <w:t>附表9</w:t>
      </w:r>
      <w:r>
        <w:rPr>
          <w:rFonts w:ascii="仿宋_GB2312" w:eastAsia="仿宋_GB2312" w:cs="仿宋_GB2312"/>
          <w:sz w:val="28"/>
          <w:szCs w:val="28"/>
        </w:rPr>
        <w:t xml:space="preserve"> </w:t>
      </w:r>
    </w:p>
    <w:p>
      <w:pPr>
        <w:spacing w:line="560" w:lineRule="exact"/>
        <w:jc w:val="center"/>
        <w:rPr>
          <w:rFonts w:ascii="方正小标宋简体" w:eastAsia="方正小标宋简体" w:cs="仿宋_GB2312"/>
          <w:sz w:val="36"/>
          <w:szCs w:val="36"/>
        </w:rPr>
      </w:pPr>
    </w:p>
    <w:p>
      <w:pPr>
        <w:spacing w:line="560" w:lineRule="exact"/>
        <w:jc w:val="center"/>
        <w:rPr>
          <w:rFonts w:ascii="方正小标宋简体" w:eastAsia="方正小标宋简体" w:cs="仿宋_GB2312"/>
          <w:sz w:val="36"/>
          <w:szCs w:val="36"/>
        </w:rPr>
      </w:pPr>
      <w:r>
        <w:rPr>
          <w:rFonts w:hint="eastAsia" w:ascii="方正小标宋简体" w:eastAsia="方正小标宋简体" w:cs="仿宋_GB2312"/>
          <w:sz w:val="36"/>
          <w:szCs w:val="36"/>
        </w:rPr>
        <w:t>城市电力架空线路走廊宽度控制指标表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4"/>
        <w:gridCol w:w="2551"/>
        <w:gridCol w:w="3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4"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线路电压等级</w:t>
            </w:r>
          </w:p>
          <w:p>
            <w:pPr>
              <w:spacing w:line="240" w:lineRule="exact"/>
              <w:jc w:val="center"/>
              <w:rPr>
                <w:rFonts w:ascii="仿宋_GB2312" w:eastAsia="仿宋_GB2312" w:cs="仿宋_GB2312"/>
                <w:szCs w:val="21"/>
              </w:rPr>
            </w:pPr>
            <w:r>
              <w:rPr>
                <w:rFonts w:hint="eastAsia" w:ascii="仿宋_GB2312" w:eastAsia="仿宋_GB2312" w:cs="仿宋_GB2312"/>
                <w:szCs w:val="21"/>
              </w:rPr>
              <w:t>（kV）</w:t>
            </w:r>
          </w:p>
        </w:tc>
        <w:tc>
          <w:tcPr>
            <w:tcW w:w="255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走廊宽度</w:t>
            </w:r>
          </w:p>
          <w:p>
            <w:pPr>
              <w:spacing w:line="240" w:lineRule="exact"/>
              <w:jc w:val="center"/>
              <w:rPr>
                <w:rFonts w:ascii="仿宋_GB2312" w:eastAsia="仿宋_GB2312" w:cs="仿宋_GB2312"/>
                <w:szCs w:val="21"/>
              </w:rPr>
            </w:pPr>
            <w:r>
              <w:rPr>
                <w:rFonts w:hint="eastAsia" w:ascii="仿宋_GB2312" w:eastAsia="仿宋_GB2312" w:cs="仿宋_GB2312"/>
                <w:szCs w:val="21"/>
              </w:rPr>
              <w:t>（m）</w:t>
            </w:r>
          </w:p>
        </w:tc>
        <w:tc>
          <w:tcPr>
            <w:tcW w:w="3169" w:type="dxa"/>
          </w:tcPr>
          <w:p>
            <w:pPr>
              <w:spacing w:line="240" w:lineRule="exact"/>
              <w:jc w:val="center"/>
              <w:rPr>
                <w:rFonts w:ascii="仿宋_GB2312" w:eastAsia="仿宋_GB2312" w:cs="仿宋_GB2312"/>
                <w:szCs w:val="21"/>
              </w:rPr>
            </w:pPr>
            <w:r>
              <w:rPr>
                <w:rFonts w:hint="eastAsia" w:ascii="仿宋_GB2312" w:eastAsia="仿宋_GB2312" w:cs="仿宋_GB2312"/>
                <w:szCs w:val="21"/>
              </w:rPr>
              <w:t>导线边线延伸距离（m）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4"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35</w:t>
            </w:r>
          </w:p>
        </w:tc>
        <w:tc>
          <w:tcPr>
            <w:tcW w:w="255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15</w:t>
            </w:r>
            <w:r>
              <w:rPr>
                <w:rFonts w:hint="eastAsia" w:ascii="华文仿宋" w:eastAsia="华文仿宋" w:cs="仿宋_GB2312"/>
                <w:szCs w:val="21"/>
              </w:rPr>
              <w:t>~</w:t>
            </w:r>
            <w:r>
              <w:rPr>
                <w:rFonts w:hint="eastAsia" w:ascii="仿宋_GB2312" w:eastAsia="仿宋_GB2312" w:cs="仿宋_GB2312"/>
                <w:szCs w:val="21"/>
              </w:rPr>
              <w:t>20</w:t>
            </w:r>
          </w:p>
        </w:tc>
        <w:tc>
          <w:tcPr>
            <w:tcW w:w="3169" w:type="dxa"/>
          </w:tcPr>
          <w:p>
            <w:pPr>
              <w:spacing w:line="240" w:lineRule="exact"/>
              <w:jc w:val="center"/>
              <w:rPr>
                <w:rFonts w:ascii="仿宋_GB2312" w:eastAsia="仿宋_GB2312" w:cs="仿宋_GB2312"/>
                <w:szCs w:val="21"/>
              </w:rPr>
            </w:pPr>
            <w:r>
              <w:rPr>
                <w:rFonts w:hint="eastAsia" w:ascii="仿宋_GB2312" w:eastAsia="仿宋_GB2312" w:cs="仿宋_GB2312"/>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4"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110</w:t>
            </w:r>
          </w:p>
        </w:tc>
        <w:tc>
          <w:tcPr>
            <w:tcW w:w="255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15</w:t>
            </w:r>
            <w:r>
              <w:rPr>
                <w:rFonts w:hint="eastAsia" w:ascii="华文仿宋" w:eastAsia="华文仿宋" w:cs="仿宋_GB2312"/>
                <w:szCs w:val="21"/>
              </w:rPr>
              <w:t>~</w:t>
            </w:r>
            <w:r>
              <w:rPr>
                <w:rFonts w:hint="eastAsia" w:ascii="仿宋_GB2312" w:eastAsia="仿宋_GB2312" w:cs="仿宋_GB2312"/>
                <w:szCs w:val="21"/>
              </w:rPr>
              <w:t>25</w:t>
            </w:r>
          </w:p>
        </w:tc>
        <w:tc>
          <w:tcPr>
            <w:tcW w:w="3169" w:type="dxa"/>
          </w:tcPr>
          <w:p>
            <w:pPr>
              <w:spacing w:line="240" w:lineRule="exact"/>
              <w:jc w:val="center"/>
              <w:rPr>
                <w:rFonts w:ascii="仿宋_GB2312" w:eastAsia="仿宋_GB2312" w:cs="仿宋_GB2312"/>
                <w:szCs w:val="21"/>
              </w:rPr>
            </w:pPr>
            <w:r>
              <w:rPr>
                <w:rFonts w:hint="eastAsia" w:ascii="仿宋_GB2312" w:eastAsia="仿宋_GB2312" w:cs="仿宋_GB2312"/>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4"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220</w:t>
            </w:r>
          </w:p>
        </w:tc>
        <w:tc>
          <w:tcPr>
            <w:tcW w:w="255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30</w:t>
            </w:r>
            <w:r>
              <w:rPr>
                <w:rFonts w:hint="eastAsia" w:ascii="华文仿宋" w:eastAsia="华文仿宋" w:cs="仿宋_GB2312"/>
                <w:szCs w:val="21"/>
              </w:rPr>
              <w:t>~</w:t>
            </w:r>
            <w:r>
              <w:rPr>
                <w:rFonts w:hint="eastAsia" w:ascii="仿宋_GB2312" w:eastAsia="仿宋_GB2312" w:cs="仿宋_GB2312"/>
                <w:szCs w:val="21"/>
              </w:rPr>
              <w:t>40</w:t>
            </w:r>
          </w:p>
        </w:tc>
        <w:tc>
          <w:tcPr>
            <w:tcW w:w="3169" w:type="dxa"/>
          </w:tcPr>
          <w:p>
            <w:pPr>
              <w:spacing w:line="240" w:lineRule="exact"/>
              <w:jc w:val="center"/>
              <w:rPr>
                <w:rFonts w:ascii="仿宋_GB2312" w:eastAsia="仿宋_GB2312" w:cs="仿宋_GB2312"/>
                <w:szCs w:val="21"/>
              </w:rPr>
            </w:pPr>
            <w:r>
              <w:rPr>
                <w:rFonts w:hint="eastAsia" w:ascii="仿宋_GB2312" w:eastAsia="仿宋_GB2312" w:cs="仿宋_GB2312"/>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4"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500</w:t>
            </w:r>
          </w:p>
        </w:tc>
        <w:tc>
          <w:tcPr>
            <w:tcW w:w="2551" w:type="dxa"/>
            <w:vAlign w:val="center"/>
          </w:tcPr>
          <w:p>
            <w:pPr>
              <w:spacing w:line="240" w:lineRule="exact"/>
              <w:jc w:val="center"/>
              <w:rPr>
                <w:rFonts w:ascii="仿宋_GB2312" w:eastAsia="仿宋_GB2312" w:cs="仿宋_GB2312"/>
                <w:szCs w:val="21"/>
              </w:rPr>
            </w:pPr>
            <w:r>
              <w:rPr>
                <w:rFonts w:hint="eastAsia" w:ascii="仿宋_GB2312" w:eastAsia="仿宋_GB2312" w:cs="仿宋_GB2312"/>
                <w:szCs w:val="21"/>
              </w:rPr>
              <w:t>60</w:t>
            </w:r>
            <w:r>
              <w:rPr>
                <w:rFonts w:hint="eastAsia" w:ascii="华文仿宋" w:eastAsia="华文仿宋" w:cs="仿宋_GB2312"/>
                <w:szCs w:val="21"/>
              </w:rPr>
              <w:t>~</w:t>
            </w:r>
            <w:r>
              <w:rPr>
                <w:rFonts w:hint="eastAsia" w:ascii="仿宋_GB2312" w:eastAsia="仿宋_GB2312" w:cs="仿宋_GB2312"/>
                <w:szCs w:val="21"/>
              </w:rPr>
              <w:t>75</w:t>
            </w:r>
          </w:p>
        </w:tc>
        <w:tc>
          <w:tcPr>
            <w:tcW w:w="3169" w:type="dxa"/>
          </w:tcPr>
          <w:p>
            <w:pPr>
              <w:spacing w:line="240" w:lineRule="exact"/>
              <w:jc w:val="center"/>
              <w:rPr>
                <w:rFonts w:ascii="仿宋_GB2312" w:eastAsia="仿宋_GB2312" w:cs="仿宋_GB2312"/>
                <w:szCs w:val="21"/>
              </w:rPr>
            </w:pPr>
            <w:r>
              <w:rPr>
                <w:rFonts w:hint="eastAsia" w:ascii="仿宋_GB2312" w:eastAsia="仿宋_GB2312" w:cs="仿宋_GB2312"/>
                <w:szCs w:val="21"/>
              </w:rPr>
              <w:t>20</w:t>
            </w:r>
          </w:p>
        </w:tc>
      </w:tr>
    </w:tbl>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rPr>
          <w:rFonts w:ascii="仿宋_GB2312" w:eastAsia="仿宋_GB2312" w:cs="仿宋_GB2312"/>
          <w:sz w:val="32"/>
          <w:szCs w:val="32"/>
        </w:rPr>
      </w:pPr>
    </w:p>
    <w:p>
      <w:pPr>
        <w:spacing w:line="560" w:lineRule="exact"/>
        <w:ind w:firstLine="643"/>
        <w:jc w:val="center"/>
        <w:rPr>
          <w:rFonts w:ascii="黑体" w:eastAsia="黑体" w:cs="仿宋_GB2312"/>
          <w:bCs/>
          <w:sz w:val="32"/>
          <w:szCs w:val="32"/>
        </w:rPr>
      </w:pPr>
      <w:r>
        <w:rPr>
          <w:rFonts w:hint="eastAsia" w:ascii="黑体" w:eastAsia="黑体" w:cs="仿宋_GB2312"/>
          <w:bCs/>
          <w:sz w:val="32"/>
          <w:szCs w:val="32"/>
        </w:rPr>
        <w:t xml:space="preserve">第三章 </w:t>
      </w:r>
      <w:r>
        <w:rPr>
          <w:rFonts w:ascii="黑体" w:eastAsia="黑体" w:cs="仿宋_GB2312"/>
          <w:bCs/>
          <w:sz w:val="32"/>
          <w:szCs w:val="32"/>
        </w:rPr>
        <w:t xml:space="preserve"> </w:t>
      </w:r>
      <w:r>
        <w:rPr>
          <w:rFonts w:hint="eastAsia" w:ascii="黑体" w:eastAsia="黑体" w:cs="仿宋_GB2312"/>
          <w:bCs/>
          <w:sz w:val="32"/>
          <w:szCs w:val="32"/>
        </w:rPr>
        <w:t>附图</w:t>
      </w:r>
    </w:p>
    <w:p>
      <w:pPr>
        <w:spacing w:line="560" w:lineRule="exact"/>
        <w:jc w:val="left"/>
        <w:rPr>
          <w:rFonts w:ascii="黑体" w:eastAsia="黑体" w:cs="仿宋_GB2312"/>
          <w:sz w:val="32"/>
          <w:szCs w:val="32"/>
        </w:rPr>
      </w:pPr>
    </w:p>
    <w:p>
      <w:pPr>
        <w:spacing w:line="560" w:lineRule="exact"/>
        <w:jc w:val="left"/>
        <w:rPr>
          <w:rFonts w:ascii="仿宋_GB2312" w:eastAsia="仿宋_GB2312" w:cs="仿宋_GB2312"/>
          <w:sz w:val="32"/>
          <w:szCs w:val="32"/>
        </w:rPr>
      </w:pPr>
      <w:r>
        <w:rPr>
          <w:rFonts w:hint="eastAsia" w:ascii="仿宋_GB2312" w:eastAsia="仿宋_GB2312" w:cs="仿宋_GB2312"/>
          <w:sz w:val="32"/>
          <w:szCs w:val="32"/>
        </w:rPr>
        <w:drawing>
          <wp:anchor distT="0" distB="0" distL="114300" distR="114300" simplePos="0" relativeHeight="251659264" behindDoc="0" locked="0" layoutInCell="1" allowOverlap="1">
            <wp:simplePos x="0" y="0"/>
            <wp:positionH relativeFrom="margin">
              <wp:align>left</wp:align>
            </wp:positionH>
            <wp:positionV relativeFrom="paragraph">
              <wp:posOffset>403225</wp:posOffset>
            </wp:positionV>
            <wp:extent cx="5464810" cy="3774440"/>
            <wp:effectExtent l="0" t="0" r="20" b="26"/>
            <wp:wrapSquare wrapText="bothSides"/>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5"/>
                    <a:srcRect l="8487" t="14017" r="19533" b="15557"/>
                    <a:stretch>
                      <a:fillRect/>
                    </a:stretch>
                  </pic:blipFill>
                  <pic:spPr>
                    <a:xfrm>
                      <a:off x="0" y="0"/>
                      <a:ext cx="5464810" cy="3774440"/>
                    </a:xfrm>
                    <a:prstGeom prst="rect">
                      <a:avLst/>
                    </a:prstGeom>
                    <a:noFill/>
                    <a:ln w="9525" cap="flat" cmpd="sng">
                      <a:noFill/>
                      <a:prstDash val="solid"/>
                      <a:miter/>
                    </a:ln>
                  </pic:spPr>
                </pic:pic>
              </a:graphicData>
            </a:graphic>
          </wp:anchor>
        </w:drawing>
      </w:r>
      <w:r>
        <w:rPr>
          <w:rFonts w:hint="eastAsia" w:ascii="黑体" w:eastAsia="黑体" w:cs="仿宋_GB2312"/>
          <w:sz w:val="32"/>
          <w:szCs w:val="32"/>
        </w:rPr>
        <w:t>附图1</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注：H1为±0.00标高与室外较高侧设计地面标高的高差值，H2为地下室或半地下室平均层高，H3为地下室或半地下室地面标高低于室外较低侧设计地面标高的高差值，a为室外较高侧设计地面标高，b为室外较低侧设计地面标高。</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1.H1不得大于1.5米；</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2.当H3＞H2/2时，A空间为地下建筑；</w:t>
      </w:r>
    </w:p>
    <w:p>
      <w:pPr>
        <w:spacing w:line="560" w:lineRule="exact"/>
        <w:ind w:firstLine="640" w:firstLineChars="200"/>
        <w:rPr>
          <w:rFonts w:ascii="仿宋_GB2312" w:eastAsia="仿宋_GB2312" w:cs="仿宋_GB2312"/>
          <w:sz w:val="30"/>
          <w:szCs w:val="30"/>
        </w:rPr>
      </w:pPr>
      <w:r>
        <w:rPr>
          <w:rFonts w:ascii="仿宋_GB2312" w:eastAsia="仿宋_GB2312" w:cs="仿宋_GB2312"/>
          <w:sz w:val="32"/>
          <w:szCs w:val="32"/>
        </w:rPr>
        <w:t>3</w:t>
      </w:r>
      <w:r>
        <w:rPr>
          <w:rFonts w:hint="eastAsia" w:ascii="仿宋_GB2312" w:eastAsia="仿宋_GB2312" w:cs="仿宋_GB2312"/>
          <w:sz w:val="32"/>
          <w:szCs w:val="32"/>
        </w:rPr>
        <w:t>.当H3≤H2/2时，A空间为半地下建筑。</w:t>
      </w:r>
    </w:p>
    <w:p>
      <w:pPr>
        <w:spacing w:line="560" w:lineRule="exact"/>
        <w:ind w:firstLine="600" w:firstLineChars="200"/>
        <w:rPr>
          <w:rFonts w:ascii="仿宋_GB2312" w:eastAsia="仿宋_GB2312" w:cs="仿宋_GB2312"/>
          <w:sz w:val="30"/>
          <w:szCs w:val="30"/>
        </w:rPr>
      </w:pPr>
    </w:p>
    <w:p>
      <w:pPr>
        <w:spacing w:line="560" w:lineRule="exact"/>
        <w:jc w:val="left"/>
        <w:rPr>
          <w:rFonts w:ascii="仿宋_GB2312" w:eastAsia="仿宋_GB2312" w:cs="仿宋_GB2312"/>
          <w:sz w:val="32"/>
          <w:szCs w:val="32"/>
        </w:rPr>
      </w:pPr>
      <w:r>
        <w:rPr>
          <w:rFonts w:hint="eastAsia" w:ascii="仿宋_GB2312" w:eastAsia="仿宋_GB2312" w:cs="仿宋_GB2312"/>
          <w:sz w:val="32"/>
          <w:szCs w:val="32"/>
        </w:rPr>
        <w:drawing>
          <wp:anchor distT="0" distB="0" distL="114300" distR="114300" simplePos="0" relativeHeight="251659264" behindDoc="0" locked="0" layoutInCell="1" allowOverlap="1">
            <wp:simplePos x="0" y="0"/>
            <wp:positionH relativeFrom="margin">
              <wp:align>right</wp:align>
            </wp:positionH>
            <wp:positionV relativeFrom="paragraph">
              <wp:posOffset>563245</wp:posOffset>
            </wp:positionV>
            <wp:extent cx="5615940" cy="3095625"/>
            <wp:effectExtent l="0" t="0" r="9" b="48"/>
            <wp:wrapSquare wrapText="bothSides"/>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6"/>
                    <a:srcRect l="3082" t="18451" r="3558" b="8718"/>
                    <a:stretch>
                      <a:fillRect/>
                    </a:stretch>
                  </pic:blipFill>
                  <pic:spPr>
                    <a:xfrm>
                      <a:off x="0" y="0"/>
                      <a:ext cx="5615940" cy="3095625"/>
                    </a:xfrm>
                    <a:prstGeom prst="rect">
                      <a:avLst/>
                    </a:prstGeom>
                    <a:noFill/>
                    <a:ln w="9525" cap="flat" cmpd="sng">
                      <a:noFill/>
                      <a:prstDash val="solid"/>
                      <a:miter/>
                    </a:ln>
                  </pic:spPr>
                </pic:pic>
              </a:graphicData>
            </a:graphic>
          </wp:anchor>
        </w:drawing>
      </w:r>
      <w:r>
        <w:rPr>
          <w:rFonts w:hint="eastAsia" w:ascii="黑体" w:eastAsia="黑体" w:cs="仿宋_GB2312"/>
          <w:sz w:val="32"/>
          <w:szCs w:val="32"/>
        </w:rPr>
        <w:t>附图2</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注： A为被遮挡物，B为遮挡物， A、B均为多层住宅建筑， H为遮挡物高度，α为正南向（0°）偏东、偏西方位角。</w:t>
      </w:r>
    </w:p>
    <w:p>
      <w:pPr>
        <w:spacing w:line="560" w:lineRule="exact"/>
        <w:rPr>
          <w:rFonts w:ascii="仿宋_GB2312" w:eastAsia="仿宋_GB2312" w:cs="仿宋_GB2312"/>
          <w:sz w:val="30"/>
          <w:szCs w:val="30"/>
        </w:rPr>
      </w:pPr>
    </w:p>
    <w:p>
      <w:pPr>
        <w:spacing w:line="560" w:lineRule="exact"/>
        <w:rPr>
          <w:rFonts w:ascii="仿宋_GB2312" w:eastAsia="仿宋_GB2312" w:cs="仿宋_GB2312"/>
          <w:sz w:val="32"/>
          <w:szCs w:val="32"/>
        </w:rPr>
      </w:pPr>
      <w:r>
        <w:rPr>
          <w:rFonts w:hint="eastAsia" w:ascii="仿宋_GB2312" w:eastAsia="仿宋_GB2312" w:cs="仿宋_GB2312"/>
          <w:sz w:val="32"/>
          <w:szCs w:val="32"/>
        </w:rPr>
        <w:drawing>
          <wp:anchor distT="0" distB="0" distL="114300" distR="114300" simplePos="0" relativeHeight="251659264" behindDoc="0" locked="0" layoutInCell="1" allowOverlap="1">
            <wp:simplePos x="0" y="0"/>
            <wp:positionH relativeFrom="margin">
              <wp:align>right</wp:align>
            </wp:positionH>
            <wp:positionV relativeFrom="paragraph">
              <wp:posOffset>385445</wp:posOffset>
            </wp:positionV>
            <wp:extent cx="5615940" cy="1927225"/>
            <wp:effectExtent l="0" t="0" r="9" b="34"/>
            <wp:wrapSquare wrapText="bothSides"/>
            <wp:docPr id="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pic:cNvPicPr>
                      <a:picLocks noChangeAspect="1"/>
                    </pic:cNvPicPr>
                  </pic:nvPicPr>
                  <pic:blipFill>
                    <a:blip r:embed="rId7"/>
                    <a:stretch>
                      <a:fillRect/>
                    </a:stretch>
                  </pic:blipFill>
                  <pic:spPr>
                    <a:xfrm>
                      <a:off x="0" y="0"/>
                      <a:ext cx="5615940" cy="1927224"/>
                    </a:xfrm>
                    <a:prstGeom prst="rect">
                      <a:avLst/>
                    </a:prstGeom>
                    <a:noFill/>
                    <a:ln w="9525" cap="flat" cmpd="sng">
                      <a:noFill/>
                      <a:prstDash val="solid"/>
                      <a:miter/>
                    </a:ln>
                  </pic:spPr>
                </pic:pic>
              </a:graphicData>
            </a:graphic>
          </wp:anchor>
        </w:drawing>
      </w:r>
      <w:r>
        <w:rPr>
          <w:rFonts w:hint="eastAsia" w:ascii="黑体" w:eastAsia="黑体" w:cs="仿宋_GB2312"/>
          <w:sz w:val="32"/>
          <w:szCs w:val="32"/>
        </w:rPr>
        <w:t>附图3</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注： A为被遮挡物，B为遮挡物，H为遮挡物高度，A、B均为多层住宅建筑，α为正南向（0°）偏东、偏西方位角。</w:t>
      </w:r>
    </w:p>
    <w:p>
      <w:pPr>
        <w:spacing w:line="560" w:lineRule="exact"/>
        <w:rPr>
          <w:rFonts w:ascii="仿宋_GB2312" w:eastAsia="仿宋_GB2312" w:cs="仿宋_GB2312"/>
          <w:sz w:val="32"/>
          <w:szCs w:val="32"/>
        </w:rPr>
      </w:pPr>
      <w:r>
        <w:rPr>
          <w:rFonts w:hint="eastAsia" w:ascii="仿宋_GB2312" w:eastAsia="仿宋_GB2312" w:cs="仿宋_GB2312"/>
          <w:sz w:val="32"/>
          <w:szCs w:val="32"/>
        </w:rPr>
        <w:drawing>
          <wp:anchor distT="0" distB="0" distL="114300" distR="114300" simplePos="0" relativeHeight="251659264" behindDoc="0" locked="0" layoutInCell="1" allowOverlap="1">
            <wp:simplePos x="0" y="0"/>
            <wp:positionH relativeFrom="margin">
              <wp:align>right</wp:align>
            </wp:positionH>
            <wp:positionV relativeFrom="paragraph">
              <wp:posOffset>383540</wp:posOffset>
            </wp:positionV>
            <wp:extent cx="5613400" cy="2795905"/>
            <wp:effectExtent l="0" t="0" r="22" b="22"/>
            <wp:wrapSquare wrapText="bothSides"/>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pic:cNvPicPr>
                      <a:picLocks noChangeAspect="1"/>
                    </pic:cNvPicPr>
                  </pic:nvPicPr>
                  <pic:blipFill>
                    <a:blip r:embed="rId8"/>
                    <a:stretch>
                      <a:fillRect/>
                    </a:stretch>
                  </pic:blipFill>
                  <pic:spPr>
                    <a:xfrm>
                      <a:off x="0" y="0"/>
                      <a:ext cx="5613400" cy="2795904"/>
                    </a:xfrm>
                    <a:prstGeom prst="rect">
                      <a:avLst/>
                    </a:prstGeom>
                    <a:noFill/>
                    <a:ln w="9525" cap="flat" cmpd="sng">
                      <a:noFill/>
                      <a:prstDash val="solid"/>
                      <a:miter/>
                    </a:ln>
                  </pic:spPr>
                </pic:pic>
              </a:graphicData>
            </a:graphic>
          </wp:anchor>
        </w:drawing>
      </w:r>
      <w:r>
        <w:rPr>
          <w:rFonts w:hint="eastAsia" w:ascii="黑体" w:eastAsia="黑体" w:cs="仿宋_GB2312"/>
          <w:sz w:val="32"/>
          <w:szCs w:val="32"/>
        </w:rPr>
        <w:t>附图4</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注： A为被遮挡物，B为遮挡物，A、B至少一栋为高层建筑，α为正南向（0°）偏东、偏西方位角。</w:t>
      </w:r>
    </w:p>
    <w:p>
      <w:pPr>
        <w:spacing w:line="560" w:lineRule="exact"/>
        <w:rPr>
          <w:rFonts w:ascii="仿宋_GB2312" w:eastAsia="仿宋_GB2312" w:cs="仿宋_GB2312"/>
          <w:sz w:val="30"/>
          <w:szCs w:val="30"/>
        </w:rPr>
      </w:pPr>
    </w:p>
    <w:p>
      <w:pPr>
        <w:spacing w:line="560" w:lineRule="exact"/>
        <w:rPr>
          <w:rFonts w:ascii="仿宋_GB2312" w:eastAsia="仿宋_GB2312" w:cs="仿宋_GB2312"/>
          <w:sz w:val="30"/>
          <w:szCs w:val="30"/>
        </w:rPr>
      </w:pPr>
    </w:p>
    <w:p>
      <w:pPr>
        <w:spacing w:line="560" w:lineRule="exact"/>
        <w:rPr>
          <w:rFonts w:ascii="仿宋_GB2312" w:eastAsia="仿宋_GB2312" w:cs="仿宋_GB2312"/>
          <w:sz w:val="32"/>
          <w:szCs w:val="32"/>
        </w:rPr>
      </w:pPr>
      <w:r>
        <w:rPr>
          <w:rFonts w:hint="eastAsia" w:ascii="仿宋_GB2312" w:eastAsia="仿宋_GB2312" w:cs="仿宋_GB2312"/>
          <w:sz w:val="32"/>
          <w:szCs w:val="32"/>
        </w:rPr>
        <w:drawing>
          <wp:anchor distT="0" distB="0" distL="114300" distR="114300" simplePos="0" relativeHeight="251659264" behindDoc="0" locked="0" layoutInCell="1" allowOverlap="1">
            <wp:simplePos x="0" y="0"/>
            <wp:positionH relativeFrom="margin">
              <wp:align>left</wp:align>
            </wp:positionH>
            <wp:positionV relativeFrom="paragraph">
              <wp:posOffset>401320</wp:posOffset>
            </wp:positionV>
            <wp:extent cx="5464810" cy="2406650"/>
            <wp:effectExtent l="14288" t="14288" r="14267" b="14281"/>
            <wp:wrapSquare wrapText="bothSides"/>
            <wp:docPr id="2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7"/>
                    <pic:cNvPicPr>
                      <a:picLocks noChangeAspect="1"/>
                    </pic:cNvPicPr>
                  </pic:nvPicPr>
                  <pic:blipFill>
                    <a:blip r:embed="rId9"/>
                    <a:stretch>
                      <a:fillRect/>
                    </a:stretch>
                  </pic:blipFill>
                  <pic:spPr>
                    <a:xfrm>
                      <a:off x="0" y="0"/>
                      <a:ext cx="5464810" cy="2406650"/>
                    </a:xfrm>
                    <a:prstGeom prst="rect">
                      <a:avLst/>
                    </a:prstGeom>
                    <a:noFill/>
                    <a:ln w="9525" cap="flat" cmpd="sng">
                      <a:solidFill>
                        <a:srgbClr val="808080"/>
                      </a:solidFill>
                      <a:prstDash val="solid"/>
                      <a:round/>
                    </a:ln>
                  </pic:spPr>
                </pic:pic>
              </a:graphicData>
            </a:graphic>
          </wp:anchor>
        </w:drawing>
      </w:r>
      <w:r>
        <w:rPr>
          <w:rFonts w:hint="eastAsia" w:ascii="黑体" w:eastAsia="黑体" w:cs="仿宋_GB2312"/>
          <w:sz w:val="32"/>
          <w:szCs w:val="32"/>
        </w:rPr>
        <w:t>附图5</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注：A、B互不遮挡时，最小间距L按消防间距控制。</w:t>
      </w:r>
    </w:p>
    <w:p>
      <w:pPr>
        <w:spacing w:line="560" w:lineRule="exact"/>
        <w:ind w:firstLine="643"/>
        <w:jc w:val="center"/>
        <w:rPr>
          <w:rFonts w:ascii="黑体" w:eastAsia="黑体" w:cs="仿宋_GB2312"/>
          <w:bCs/>
          <w:sz w:val="32"/>
          <w:szCs w:val="32"/>
        </w:rPr>
      </w:pPr>
      <w:r>
        <w:rPr>
          <w:rFonts w:hint="eastAsia" w:ascii="黑体" w:eastAsia="黑体" w:cs="仿宋_GB2312"/>
          <w:bCs/>
          <w:sz w:val="32"/>
          <w:szCs w:val="32"/>
        </w:rPr>
        <w:t>第四章</w:t>
      </w:r>
      <w:r>
        <w:rPr>
          <w:rFonts w:ascii="黑体" w:eastAsia="黑体" w:cs="仿宋_GB2312"/>
          <w:bCs/>
          <w:sz w:val="32"/>
          <w:szCs w:val="32"/>
        </w:rPr>
        <w:t xml:space="preserve">  </w:t>
      </w:r>
      <w:r>
        <w:rPr>
          <w:rFonts w:hint="eastAsia" w:ascii="黑体" w:eastAsia="黑体" w:cs="仿宋_GB2312"/>
          <w:bCs/>
          <w:sz w:val="32"/>
          <w:szCs w:val="32"/>
        </w:rPr>
        <w:t>附录（计算规则）</w:t>
      </w:r>
    </w:p>
    <w:p>
      <w:pPr>
        <w:spacing w:line="560" w:lineRule="exact"/>
        <w:ind w:firstLine="640" w:firstLineChars="200"/>
        <w:rPr>
          <w:rFonts w:ascii="黑体" w:eastAsia="黑体" w:cs="仿宋_GB2312"/>
          <w:sz w:val="32"/>
          <w:szCs w:val="32"/>
        </w:rPr>
      </w:pPr>
    </w:p>
    <w:p>
      <w:pPr>
        <w:spacing w:line="560" w:lineRule="exact"/>
        <w:ind w:firstLine="640" w:firstLineChars="200"/>
        <w:rPr>
          <w:rFonts w:ascii="黑体" w:eastAsia="黑体" w:cs="仿宋_GB2312"/>
          <w:sz w:val="32"/>
          <w:szCs w:val="32"/>
        </w:rPr>
      </w:pPr>
      <w:r>
        <w:rPr>
          <w:rFonts w:hint="eastAsia" w:ascii="黑体" w:eastAsia="黑体" w:cs="仿宋_GB2312"/>
          <w:sz w:val="32"/>
          <w:szCs w:val="32"/>
        </w:rPr>
        <w:t>一、建筑面积计算</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建筑面积的计算按照《建筑工程建筑面积计算规范》（GB/T50353-2013）、《民用建筑通用规范》（GB55031-2022）及贵阳市政府、贵阳市自然资源和规划局发布相关文件执行，以上未明确的，按照以下规定执行：</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住宅建筑层高大于3.6米，小于等于5.8米（即3.6+2.2）时，不论层内是否设有夹层，其计容建筑面积按该层水平投影面积（不含阳台部分）的2倍计算；当层高大于5.8米，小于等于8.0米（即5.8+2.2）时，不论层内是否设有夹层，其计容建筑面积按该层水平投影面积（不含阳台部分）的3倍计算，以此类推；</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底层设置商业服务网点的住宅建筑，其商业部分层高大于4.5米，小于等于6.7米（即4.5+2.2）时，计容建筑面积的计算值按该层水平投影面积的1.5倍计算；层高大于6.7米，小于等于8.9米（即6.7+2.2）时，计容建筑面积的计算值按该层水平投影面积的2倍计算；层高大于8.9米时，计容建筑面积的计算值按该层水平投影面积的3倍计算；</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（三）普通集中商业建筑（含设置在商业建筑中的各类配套服务用房在内总建筑面积≤20000平方米或者单层建筑面积≤ 5000平方米），当层高大于6.0米，小于等于8.2米（即6+2.2）时，不论层内是否设有夹层，其计容建筑面积按该层水平投影面积的2倍计算；当层高大于8.2米，小于等于10.4米（即8.2+2.2）时，其计容建筑面积按该层水平投影面积的3倍计算； </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四）大型集中商业建筑（含设置在商业建筑中的各类配套服务用房在内总建筑面积＞20000平方米或者单层建筑面积＞5000平方米），当层高大于6.6米,小于等于8.8米（即6.6+2.2）时，不论层内是否设有夹层，其计容建筑面积按该层水平投影面积的2倍计算；当层高大于8.8米,小于等于11米（即8.8+2.2）时，其计容建筑面积按该层水平投影面积的3倍计算，以此类推，有特殊功能要求的应当专题论证；</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（五）办公、酒店（旅馆）、公寓建筑层高大于5.5米、小于等于7.7米(即5.5+2.2)时, 不论其层内是否设有夹层,其计容建筑面积按该层水平投影面积的2倍计算；当层高大于7.7米小于等于9.9米(即7.7+2.2)时, 不论其层内是否设有夹层, 其计容建筑面积按该层水平投影面积的3倍计算，以此类推；</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（六）经营性用地中建筑公共部分的门厅、大堂、中庭、会议厅、宴会厅、影剧院等有特殊功能需要的建筑通高部分按一层计算计容建筑面积；</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（七）住宅建筑起居室（厅）的套内通高部分（含阳台）不超过该层套型建筑面积的</w:t>
      </w:r>
      <w:r>
        <w:rPr>
          <w:rFonts w:ascii="仿宋_GB2312" w:eastAsia="仿宋_GB2312" w:cs="仿宋_GB2312"/>
          <w:sz w:val="32"/>
          <w:szCs w:val="32"/>
        </w:rPr>
        <w:t>35%</w:t>
      </w:r>
      <w:r>
        <w:rPr>
          <w:rFonts w:hint="eastAsia" w:ascii="仿宋_GB2312" w:eastAsia="仿宋_GB2312" w:cs="仿宋_GB2312"/>
          <w:sz w:val="32"/>
          <w:szCs w:val="32"/>
        </w:rPr>
        <w:t>且高度不大于</w:t>
      </w:r>
      <w:r>
        <w:rPr>
          <w:rFonts w:ascii="仿宋_GB2312" w:eastAsia="仿宋_GB2312" w:cs="仿宋_GB2312"/>
          <w:sz w:val="32"/>
          <w:szCs w:val="32"/>
        </w:rPr>
        <w:t>7.2</w:t>
      </w:r>
      <w:r>
        <w:rPr>
          <w:rFonts w:hint="eastAsia" w:ascii="仿宋_GB2312" w:eastAsia="仿宋_GB2312" w:cs="仿宋_GB2312"/>
          <w:sz w:val="32"/>
          <w:szCs w:val="32"/>
        </w:rPr>
        <w:t>米的，该通高部分的计容建筑面积按该层水平投影面积的</w:t>
      </w:r>
      <w:r>
        <w:rPr>
          <w:rFonts w:ascii="仿宋_GB2312" w:eastAsia="仿宋_GB2312" w:cs="仿宋_GB2312"/>
          <w:sz w:val="32"/>
          <w:szCs w:val="32"/>
        </w:rPr>
        <w:t>1</w:t>
      </w:r>
      <w:r>
        <w:rPr>
          <w:rFonts w:hint="eastAsia" w:ascii="仿宋_GB2312" w:eastAsia="仿宋_GB2312" w:cs="仿宋_GB2312"/>
          <w:sz w:val="32"/>
          <w:szCs w:val="32"/>
        </w:rPr>
        <w:t>倍计算；通高部分超过该层套型建筑面积的</w:t>
      </w:r>
      <w:r>
        <w:rPr>
          <w:rFonts w:ascii="仿宋_GB2312" w:eastAsia="仿宋_GB2312" w:cs="仿宋_GB2312"/>
          <w:sz w:val="32"/>
          <w:szCs w:val="32"/>
        </w:rPr>
        <w:t>35%</w:t>
      </w:r>
      <w:r>
        <w:rPr>
          <w:rFonts w:hint="eastAsia" w:ascii="仿宋_GB2312" w:eastAsia="仿宋_GB2312" w:cs="仿宋_GB2312"/>
          <w:sz w:val="32"/>
          <w:szCs w:val="32"/>
        </w:rPr>
        <w:t>或者高度大于</w:t>
      </w:r>
      <w:r>
        <w:rPr>
          <w:rFonts w:ascii="仿宋_GB2312" w:eastAsia="仿宋_GB2312" w:cs="仿宋_GB2312"/>
          <w:sz w:val="32"/>
          <w:szCs w:val="32"/>
        </w:rPr>
        <w:t>7.2</w:t>
      </w:r>
      <w:r>
        <w:rPr>
          <w:rFonts w:hint="eastAsia" w:ascii="仿宋_GB2312" w:eastAsia="仿宋_GB2312" w:cs="仿宋_GB2312"/>
          <w:sz w:val="32"/>
          <w:szCs w:val="32"/>
        </w:rPr>
        <w:t>米的，按照本计算规则第（一）项计算；住宅建筑起居室（厅）之外的其他部分（不含阳台）出现通高情况时，通高部分的计容建筑面积按照本计算规则第（一）项计算；</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（八）工业厂房、物流仓库建筑物层高超过8米的，该层计容建筑面积加倍计算；</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（九）阳台建筑面积计算： </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1.按照《民用建筑通用规范》（GB55031-2022）、《建筑工程建筑面积计算规范》（GB/T 50353-2013）中的规定执行，同时还应符合下列规定：</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①每套住宅阳台结构底板水平投影面积之和不超过住宅套型建筑面积30%的，按其投影面积一半计算计容建筑面积；比例超出规定的部分按其水平投影面积计算计容建筑面积；</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②阳台底板至顶盖垂直高度达到或超过两个自然层的不封闭阳台，并在底板至顶盖的垂直空间内无水平镂空板、</w:t>
      </w:r>
      <w:r>
        <w:rPr>
          <w:rFonts w:hint="eastAsia" w:ascii="仿宋_GB2312" w:eastAsia="仿宋_GB2312" w:cs="仿宋_GB2312"/>
          <w:sz w:val="32"/>
          <w:szCs w:val="32"/>
          <w:lang w:val="en-US" w:eastAsia="zh-CN"/>
        </w:rPr>
        <w:t>连接</w:t>
      </w:r>
      <w:r>
        <w:rPr>
          <w:rFonts w:hint="eastAsia" w:ascii="仿宋_GB2312" w:eastAsia="仿宋_GB2312" w:cs="仿宋_GB2312"/>
          <w:sz w:val="32"/>
          <w:szCs w:val="32"/>
        </w:rPr>
        <w:t>横梁、挂墙等结构体时，且阳台结构底板水平投影面积之和不超过住宅套型建筑面积30%的，不计算计容建筑面积，否则，比例超出规定的部分按其水平投影面积计算计容建筑面积；</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③住宅建筑中属于一户专有的类似于阳台的空中花园、入户花园、观景平台等，无论其名称如何，只要符合阳台定义的，按阳台计算计容建筑面积；</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2.结构板面积据实计入计容建筑面积。</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（十）飘窗建筑面积计算：</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符合以下条件的飘窗，可不计算建筑面积：</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1.突出建筑外墙结构面；</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2.窗台板与室内地坪高差不小于0.45米；</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3.窗台板外边线至外墙结构面距离不大于0.6米；</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不符合以上任一条件的，或者设置在外墙、楼面结构层投影面以内的飘窗，应当按照全面积计入计容建筑面积。</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（十一）空调搁板面积计算：</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设置分体式空调外机的空调搁板水平总投影面积不大于</w:t>
      </w:r>
      <w:r>
        <w:rPr>
          <w:rFonts w:ascii="仿宋_GB2312" w:eastAsia="仿宋_GB2312" w:cs="仿宋_GB2312"/>
          <w:sz w:val="32"/>
          <w:szCs w:val="32"/>
        </w:rPr>
        <w:t>1.0平方米*</w:t>
      </w:r>
      <w:r>
        <w:rPr>
          <w:rFonts w:hint="eastAsia" w:ascii="仿宋_GB2312" w:eastAsia="仿宋_GB2312" w:cs="仿宋_GB2312"/>
          <w:sz w:val="32"/>
          <w:szCs w:val="32"/>
        </w:rPr>
        <w:t>居室个数，且总面积不大于</w:t>
      </w:r>
      <w:r>
        <w:rPr>
          <w:rFonts w:ascii="仿宋_GB2312" w:eastAsia="仿宋_GB2312" w:cs="仿宋_GB2312"/>
          <w:sz w:val="32"/>
          <w:szCs w:val="32"/>
        </w:rPr>
        <w:t>4.0平方米的，或</w:t>
      </w:r>
      <w:r>
        <w:rPr>
          <w:rFonts w:hint="eastAsia" w:ascii="仿宋_GB2312" w:eastAsia="仿宋_GB2312" w:cs="仿宋_GB2312"/>
          <w:sz w:val="32"/>
          <w:szCs w:val="32"/>
        </w:rPr>
        <w:t>设置分户式中央空调外机等的空调搁板总面积不大于</w:t>
      </w:r>
      <w:r>
        <w:rPr>
          <w:rFonts w:ascii="仿宋_GB2312" w:eastAsia="仿宋_GB2312" w:cs="仿宋_GB2312"/>
          <w:sz w:val="32"/>
          <w:szCs w:val="32"/>
        </w:rPr>
        <w:t>4.0平方米的，不计算</w:t>
      </w:r>
      <w:r>
        <w:rPr>
          <w:rFonts w:hint="eastAsia" w:ascii="仿宋_GB2312" w:eastAsia="仿宋_GB2312" w:cs="仿宋_GB2312"/>
          <w:sz w:val="32"/>
          <w:szCs w:val="32"/>
        </w:rPr>
        <w:t>计容建筑面积；超出部分应按照其水平投影面积计算计容建筑面积。</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（十二）花池建筑面积计算：</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1.高层住宅建筑不得在阳台外或者外墙外设置花池，低、多层居住建筑在阳台外或者外墙外设置花池的，其放置花盆处及建筑底部须采取防坠落措施；</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2.低、多层住宅建筑在阳台外或者外墙外设置花池时，花池底板高于室内地坪或者阳台地坪0.6米的，花池不计入计容建筑面积；</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3.花池底板低于室内地坪或者阳台地坪0.6米的，或者在阳台结构底板内设置花池的，按阳台规定计入计容建筑面积；</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4.其他建筑设置花池，参照住宅建筑花池建筑面积计算规则执行。</w:t>
      </w:r>
    </w:p>
    <w:p>
      <w:pPr>
        <w:spacing w:line="560" w:lineRule="exact"/>
        <w:ind w:firstLine="640" w:firstLineChars="200"/>
        <w:rPr>
          <w:rFonts w:ascii="黑体" w:eastAsia="黑体" w:cs="仿宋_GB2312"/>
          <w:sz w:val="32"/>
          <w:szCs w:val="32"/>
        </w:rPr>
      </w:pPr>
      <w:r>
        <w:rPr>
          <w:rFonts w:hint="eastAsia" w:ascii="黑体" w:eastAsia="黑体" w:cs="仿宋_GB2312"/>
          <w:sz w:val="32"/>
          <w:szCs w:val="32"/>
        </w:rPr>
        <w:t>二、建筑密度计算</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（一）地上建筑按接触地面的自然层建筑外墙或结构外围最大水平投影面积计入建筑基底面积；</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（二）接触地面的落地阳台、飘窗投影面积计入基底面积，不落地的出挑阳台、飘窗不计入基底面积，无柱</w:t>
      </w:r>
      <w:r>
        <w:rPr>
          <w:rFonts w:hint="eastAsia" w:ascii="仿宋_GB2312" w:eastAsia="仿宋_GB2312" w:cs="仿宋_GB2312"/>
          <w:sz w:val="32"/>
          <w:szCs w:val="32"/>
          <w:lang w:val="en-US" w:eastAsia="zh-CN"/>
        </w:rPr>
        <w:t>雨篷</w:t>
      </w:r>
      <w:r>
        <w:rPr>
          <w:rFonts w:hint="eastAsia" w:ascii="仿宋_GB2312" w:eastAsia="仿宋_GB2312" w:cs="仿宋_GB2312"/>
          <w:sz w:val="32"/>
          <w:szCs w:val="32"/>
        </w:rPr>
        <w:t>、挑檐、构架的水平投影面积不计入基底面积；</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（三）有柱连廊按结构投影计算基底面积，无柱连廊设置在两层及以上的不计算基底面积；</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（四）有柱架空层按结构投影计算基底面积；</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（五）半地下建筑，若消防车能直接进入建筑屋面并到达该建筑消防出入口，且屋面绿化覆土深度大于等于</w:t>
      </w:r>
      <w:r>
        <w:rPr>
          <w:rFonts w:ascii="仿宋_GB2312" w:eastAsia="仿宋_GB2312" w:cs="仿宋_GB2312"/>
          <w:sz w:val="32"/>
          <w:szCs w:val="32"/>
        </w:rPr>
        <w:t>1.5</w:t>
      </w:r>
      <w:r>
        <w:rPr>
          <w:rFonts w:hint="eastAsia" w:ascii="仿宋_GB2312" w:eastAsia="仿宋_GB2312" w:cs="仿宋_GB2312"/>
          <w:sz w:val="32"/>
          <w:szCs w:val="32"/>
        </w:rPr>
        <w:t>米的，其半地下空间为集中停车库时不计入建筑密度；其半地下空间为商业、办公、仓库等经营性用途的，非掩埋外墙对应的16米进深部分计入基底面积，进深不足16米的据实计入基底面积。</w:t>
      </w:r>
    </w:p>
    <w:p>
      <w:pPr>
        <w:spacing w:line="560" w:lineRule="exact"/>
        <w:ind w:firstLine="640" w:firstLineChars="200"/>
        <w:rPr>
          <w:rFonts w:ascii="黑体" w:eastAsia="黑体" w:cs="仿宋_GB2312"/>
          <w:sz w:val="32"/>
          <w:szCs w:val="32"/>
        </w:rPr>
      </w:pPr>
      <w:r>
        <w:rPr>
          <w:rFonts w:hint="eastAsia" w:ascii="黑体" w:eastAsia="黑体" w:cs="仿宋_GB2312"/>
          <w:sz w:val="32"/>
          <w:szCs w:val="32"/>
        </w:rPr>
        <w:t>三、建筑高度计算</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（一）坡屋顶建筑应分别计算檐口及屋脊高度，檐口高度应按室外设计地坪至屋面檐口或坡屋面最低点的高度计算，屋脊高度应按室外设计地坪至屋脊的高度计算；</w:t>
      </w:r>
      <w:bookmarkStart w:id="7" w:name="_GoBack"/>
      <w:bookmarkEnd w:id="7"/>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（二）平屋顶建筑高度应按室外设计地坪至建筑物女儿墙顶点的高度计算，无女儿墙的建筑应按至其屋面檐口顶点的高度计算；</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（三）当同一座建筑有多种屋面形式，或多个室外设计地坪时，建筑高度应分别计算后取其中最大值；</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（四）机场、广播电视、电信、微波通信、气象台、卫星地面站、军事要塞等设施的技术作业控制区内及机场航线控制范围内的建筑，建筑高度应按建筑物室外设计地坪至建（构）筑物最高点计算；</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（五）历史建筑，历史文化名城名镇名村、历史文化街区、文物保护单位、风景名胜区、自然保护区的保护规划区内的建筑，建筑高度应按建筑物室外设计地坪至建（构）筑物最高点计算；</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（六）第（四）、（五）款以外的建筑，屋顶设备用房及其他局部突出屋面用房的总面积不超过屋面面积的1/4时，不应计入建筑高度。</w:t>
      </w:r>
    </w:p>
    <w:p>
      <w:pPr>
        <w:spacing w:line="560" w:lineRule="exact"/>
        <w:ind w:firstLine="640" w:firstLineChars="200"/>
        <w:rPr>
          <w:rFonts w:ascii="黑体" w:eastAsia="黑体" w:cs="仿宋_GB2312"/>
          <w:sz w:val="32"/>
          <w:szCs w:val="32"/>
        </w:rPr>
      </w:pPr>
      <w:r>
        <w:rPr>
          <w:rFonts w:hint="eastAsia" w:ascii="黑体" w:eastAsia="黑体" w:cs="仿宋_GB2312"/>
          <w:sz w:val="32"/>
          <w:szCs w:val="32"/>
        </w:rPr>
        <w:t>四、建筑层数计算及排列</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（一）室内设计标高为正负零的楼层，按排列称为一层。建筑设计文件中应当按楼层顺序标注建筑层数，不得将一层标注为首层或者底层，第一层楼板以上称为二层，按此规则类推至建筑最高层数。层高不大于2.2 米时不计层数；</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（二）室内设计标高正负零下面的一层，按排列称为地下一层，地下一层的楼板以下称为地下二层，按此规则类推建筑物地下室最低层数；</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（三）室内地面以上的各层之间如设有夹层，则该夹层不计入层数排列，但大型公共建筑内设有中庭的，四周的楼层仍按照本计算规则第三款第（一）项的规定排列称呼；</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（四）当室内按楼梯休息平台的标高设置不同标高的楼层为错层，其错层的建筑层数，以标高为正负零的楼层（一层）为标准，第二层楼面标高以下的各层建筑层数为一层（不同标高的楼层应当分别注明标高）， 层数的标注方法按此规则类推；</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（五）架空层应计入层数；</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（六）层高大于2.2米的设备层应计入层数；</w:t>
      </w:r>
    </w:p>
    <w:p>
      <w:pPr>
        <w:spacing w:line="560" w:lineRule="exact"/>
        <w:ind w:firstLine="640" w:firstLineChars="200"/>
        <w:rPr>
          <w:rFonts w:ascii="黑体" w:eastAsia="黑体" w:cs="仿宋_GB2312"/>
          <w:sz w:val="32"/>
          <w:szCs w:val="32"/>
        </w:rPr>
      </w:pPr>
      <w:r>
        <w:rPr>
          <w:rFonts w:hint="eastAsia" w:ascii="黑体" w:eastAsia="黑体" w:cs="仿宋_GB2312"/>
          <w:sz w:val="32"/>
          <w:szCs w:val="32"/>
        </w:rPr>
        <w:t>五、地下车库车位数计算规则</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地下车库停车位计算规则以交管部门会签方案为准。</w:t>
      </w:r>
    </w:p>
    <w:p>
      <w:pPr>
        <w:spacing w:line="560" w:lineRule="exact"/>
        <w:ind w:firstLine="640" w:firstLineChars="200"/>
        <w:rPr>
          <w:rFonts w:ascii="黑体" w:eastAsia="黑体" w:cs="仿宋_GB2312"/>
          <w:sz w:val="32"/>
          <w:szCs w:val="32"/>
        </w:rPr>
      </w:pPr>
      <w:r>
        <w:rPr>
          <w:rFonts w:hint="eastAsia" w:ascii="黑体" w:eastAsia="黑体" w:cs="仿宋_GB2312"/>
          <w:sz w:val="32"/>
          <w:szCs w:val="32"/>
        </w:rPr>
        <w:t>六、绿地面积计算规则</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（一）绿地应以单块绿地为单位，分别计算其地面绿化、地下建筑及半地下建筑顶面绿化、屋顶绿化、园林铺装(含园路)和景观水体面积；</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（二）绿地面积计算的起止界规定：</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1.当绿地边界与城市道路临接时，应算至道路红线；当与居住街坊附属道路临接时，应算至路面边缘；当与建筑物临接时，应算至距房屋墙脚1.0米处；当与围墙、院墙临接时，应算至墙脚；</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2.当集中绿地与城市道路临接时，应算至道路红线；当与居住街坊附属道路临接时，应算至距路面边缘1.0米处；当与建筑物临接时，应算至距房屋墙脚1.5米处；</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3.住宅地块中的集中绿地计算要求：集中绿地内的景观水体、园路和园林铺装可计入绿地面积，但铺装及水系面积应小于15%；</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4.建设项目地块绿地率＝绿地面积/规划建设用地面积×100%。</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（三）满足当地植树绿化覆土要求的公共绿地、公共服务设施所属绿地、宅旁绿地，以及对公众开放的地下、半地下建筑顶部绿地计入绿地面积，绿化土壤土层厚度一般不宜小于1.5米；</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（四）建设项目利用地形高差，消防车能直接进入建筑屋面，且建筑屋顶绿化覆土深度符合当地要求并对公众开放的绿地计入绿地面积；</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（五）学校内足球场种植真草的部分可以计入绿地面积；</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（六）完全由植草砖铺设的停车场不计入项目绿地面积；采用植草砖铺设且每个停车位均种植胸径大于12厘米庇荫乔木的，按照该区域铺设植草砖面积50%计入绿地面积；</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七）零星乔木以种植穴面积计入绿地面积；成行种植的乔木，株距小于5米且数量在5株以上的，按其实际种植长度乘以树穴平均宽度计算为配套绿地面积；学校、市政广场采用树阵方式种植胸径大于8厘米的乔木、株距小于5米且每排每列乔木株数均在4株以上的，按其树阵整体面积计算为配套绿地面积；</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八）当单块绿地内的景观水体、园路、园林小品和园林铺装等休憩场所面积总和不大于单块绿地总面积的15%时，均可计入绿地面积。如前述休憩场所面积总和超过单块绿地总面积的15%，则以单块绿地的植物种植面积计入绿地面积；</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（九）下列绿化或设施，一般不计入建设项目附属绿地面积，但该建设项目设计批复有明确规定的除外：</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1.立体绿化、垂直绿化；</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2.架空层、阳台、雨棚和屋檐等各类建、构筑物垂直投影线内的绿地；</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3.阳台绿化、室内绿化和盆栽花草树木，墙、栏杆上的花台、花池；</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4.绿地内的垃圾房、箱式变、采光井、煤气调压箱、地下室透气孔及面积大于1平方米的消防和电力等市政设施井盖；</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5.住宅建设项目底层院落内设置围挡的，其围挡院落(包括公众不可进入的下沉式庭院)内的绿地；</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6.游泳池、消防水池、嬉水池以及城市规划控制的溪、河等水体；</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7.停车场、消防登高面、消防通道等带功能属性铺设的植草砖及隐形场地设施；</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8.“一书两证”文件中要求同步实施的代征代建公共绿地；</w:t>
      </w:r>
    </w:p>
    <w:p>
      <w:pPr>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9.用地范围内的蓝线水域(河道）、市政大沟、排水渠等非景观性水域不计入绿地面积；</w:t>
      </w:r>
    </w:p>
    <w:p>
      <w:pPr>
        <w:spacing w:line="560" w:lineRule="exact"/>
        <w:ind w:firstLine="640" w:firstLineChars="200"/>
        <w:rPr>
          <w:rFonts w:ascii="仿宋_GB2312" w:eastAsia="仿宋_GB2312" w:cs="仿宋_GB2312"/>
          <w:sz w:val="30"/>
          <w:szCs w:val="30"/>
        </w:rPr>
      </w:pPr>
      <w:r>
        <w:rPr>
          <w:rFonts w:hint="eastAsia" w:ascii="仿宋_GB2312" w:eastAsia="仿宋_GB2312" w:cs="仿宋_GB2312"/>
          <w:sz w:val="32"/>
          <w:szCs w:val="32"/>
        </w:rPr>
        <w:t>10.各类保护线内绿地、道路附属绿地、林地等面积，规划部门允许用于平衡指标的除外。</w:t>
      </w:r>
    </w:p>
    <w:sectPr>
      <w:footerReference r:id="rId3" w:type="default"/>
      <w:pgSz w:w="11907" w:h="16840"/>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4FC8309-01D8-4CD4-A236-AD30833629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文泉驿正黑">
    <w:altName w:val="宋体"/>
    <w:panose1 w:val="00000000000000000000"/>
    <w:charset w:val="86"/>
    <w:family w:val="script"/>
    <w:pitch w:val="default"/>
    <w:sig w:usb0="00000000" w:usb1="00000000" w:usb2="00000036" w:usb3="00000000" w:csb0="603E000D" w:csb1="D2D70000"/>
  </w:font>
  <w:font w:name="方正小标宋简体">
    <w:panose1 w:val="02000000000000000000"/>
    <w:charset w:val="86"/>
    <w:family w:val="script"/>
    <w:pitch w:val="default"/>
    <w:sig w:usb0="00000001" w:usb1="08000000" w:usb2="00000000" w:usb3="00000000" w:csb0="00040000" w:csb1="00000000"/>
    <w:embedRegular r:id="rId2" w:fontKey="{A9B151E6-B364-41BA-958E-A39145F53067}"/>
  </w:font>
  <w:font w:name="仿宋_GB2312">
    <w:altName w:val="仿宋"/>
    <w:panose1 w:val="02010609030101010101"/>
    <w:charset w:val="86"/>
    <w:family w:val="modern"/>
    <w:pitch w:val="default"/>
    <w:sig w:usb0="00000000" w:usb1="00000000" w:usb2="00000010" w:usb3="00000000" w:csb0="00040000" w:csb1="00000000"/>
    <w:embedRegular r:id="rId3" w:fontKey="{86F1F102-1CA5-43EF-B7D5-861BB1A1CDAE}"/>
  </w:font>
  <w:font w:name="Batang">
    <w:altName w:val="Malgun Gothic"/>
    <w:panose1 w:val="02030600000101010101"/>
    <w:charset w:val="81"/>
    <w:family w:val="roman"/>
    <w:pitch w:val="default"/>
    <w:sig w:usb0="00000000" w:usb1="00000000" w:usb2="00000030" w:usb3="00000000" w:csb0="0008009F" w:csb1="00000000"/>
    <w:embedRegular r:id="rId4" w:fontKey="{923EB7DB-BBA8-4D0F-BDCA-E5D77CB90DFB}"/>
  </w:font>
  <w:font w:name="微软雅黑">
    <w:panose1 w:val="020B0503020204020204"/>
    <w:charset w:val="86"/>
    <w:family w:val="swiss"/>
    <w:pitch w:val="default"/>
    <w:sig w:usb0="80000287" w:usb1="2ACF3C50" w:usb2="00000016" w:usb3="00000000" w:csb0="0004001F" w:csb1="00000000"/>
    <w:embedRegular r:id="rId5" w:fontKey="{BAB6C0B2-E705-47DA-A32F-2902AFE269F5}"/>
  </w:font>
  <w:font w:name="楷体_GB2312">
    <w:altName w:val="楷体"/>
    <w:panose1 w:val="00000000000000000000"/>
    <w:charset w:val="86"/>
    <w:family w:val="auto"/>
    <w:pitch w:val="default"/>
    <w:sig w:usb0="00000000" w:usb1="00000000" w:usb2="00000000" w:usb3="00000000" w:csb0="00040000" w:csb1="00000000"/>
    <w:embedRegular r:id="rId6" w:fontKey="{1CF1947D-B5C2-4F66-9A97-D74B03986246}"/>
  </w:font>
  <w:font w:name="华文仿宋">
    <w:altName w:val="宋体"/>
    <w:panose1 w:val="02010600040101010101"/>
    <w:charset w:val="86"/>
    <w:family w:val="auto"/>
    <w:pitch w:val="default"/>
    <w:sig w:usb0="00000000" w:usb1="00000000" w:usb2="00000010" w:usb3="00000000" w:csb0="0004009F" w:csb1="00000000"/>
    <w:embedRegular r:id="rId7" w:fontKey="{0FF27417-CA71-4973-BBE9-A32E65810728}"/>
  </w:font>
  <w:font w:name="仿宋">
    <w:panose1 w:val="02010609060101010101"/>
    <w:charset w:val="86"/>
    <w:family w:val="auto"/>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701874"/>
      <w:docPartObj>
        <w:docPartGallery w:val="AutoText"/>
      </w:docPartObj>
    </w:sdtPr>
    <w:sdtEndPr>
      <w:rPr>
        <w:rFonts w:ascii="Times New Roman" w:hAnsi="Times New Roman" w:cs="Times New Roman"/>
        <w:sz w:val="28"/>
        <w:szCs w:val="28"/>
      </w:rPr>
    </w:sdtEndPr>
    <w:sdtContent>
      <w:p>
        <w:pPr>
          <w:pStyle w:val="8"/>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4</w:t>
        </w:r>
        <w:r>
          <w:rPr>
            <w:rFonts w:ascii="Times New Roman" w:hAnsi="Times New Roman" w:cs="Times New Roman"/>
            <w:sz w:val="28"/>
            <w:szCs w:val="28"/>
          </w:rP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jgxZTJlOWJiZjE1ZDk1ZDVkNmVjZTQzZjMwYmZhOTcifQ=="/>
  </w:docVars>
  <w:rsids>
    <w:rsidRoot w:val="00F760F4"/>
    <w:rsid w:val="001B71AC"/>
    <w:rsid w:val="00492C01"/>
    <w:rsid w:val="00621FA2"/>
    <w:rsid w:val="00722AD0"/>
    <w:rsid w:val="009F1FA8"/>
    <w:rsid w:val="00C95574"/>
    <w:rsid w:val="00F760F4"/>
    <w:rsid w:val="27E404FE"/>
    <w:rsid w:val="381E018B"/>
    <w:rsid w:val="6B2B31F8"/>
    <w:rsid w:val="70111815"/>
    <w:rsid w:val="7DE65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文泉驿正黑" w:hAnsi="文泉驿正黑" w:eastAsia="黑体"/>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5">
    <w:name w:val="table of authorities"/>
    <w:basedOn w:val="1"/>
    <w:next w:val="1"/>
    <w:uiPriority w:val="0"/>
    <w:pPr>
      <w:ind w:left="200" w:leftChars="200"/>
    </w:pPr>
  </w:style>
  <w:style w:type="paragraph" w:styleId="6">
    <w:name w:val="Body Text"/>
    <w:basedOn w:val="1"/>
    <w:next w:val="5"/>
    <w:autoRedefine/>
    <w:qFormat/>
    <w:uiPriority w:val="0"/>
    <w:rPr>
      <w:rFonts w:cs="Times New Roman"/>
      <w:sz w:val="44"/>
    </w:rPr>
  </w:style>
  <w:style w:type="paragraph" w:styleId="7">
    <w:name w:val="Balloon Text"/>
    <w:basedOn w:val="1"/>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uiPriority w:val="0"/>
    <w:pPr>
      <w:tabs>
        <w:tab w:val="center" w:pos="4153"/>
        <w:tab w:val="right" w:pos="8306"/>
      </w:tabs>
      <w:snapToGrid w:val="0"/>
    </w:pPr>
    <w:rPr>
      <w:sz w:val="18"/>
    </w:rPr>
  </w:style>
  <w:style w:type="paragraph" w:styleId="10">
    <w:name w:val="Normal (Web)"/>
    <w:basedOn w:val="1"/>
    <w:autoRedefine/>
    <w:qFormat/>
    <w:uiPriority w:val="0"/>
    <w:pPr>
      <w:widowControl/>
      <w:spacing w:before="100" w:beforeAutospacing="1" w:after="100" w:afterAutospacing="1"/>
      <w:jc w:val="left"/>
    </w:pPr>
    <w:rPr>
      <w:rFonts w:ascii="宋体" w:cs="宋体"/>
      <w:kern w:val="0"/>
      <w:sz w:val="24"/>
    </w:rPr>
  </w:style>
  <w:style w:type="paragraph" w:styleId="13">
    <w:name w:val="List Paragraph"/>
    <w:basedOn w:val="1"/>
    <w:autoRedefine/>
    <w:qFormat/>
    <w:uiPriority w:val="0"/>
    <w:pPr>
      <w:ind w:firstLine="200" w:firstLineChars="200"/>
    </w:pPr>
  </w:style>
  <w:style w:type="paragraph" w:customStyle="1" w:styleId="14">
    <w:name w:val="修订1"/>
    <w:autoRedefine/>
    <w:qFormat/>
    <w:uiPriority w:val="0"/>
    <w:rPr>
      <w:rFonts w:ascii="Calibri" w:hAnsi="Calibri" w:eastAsia="宋体" w:cs="Arial"/>
      <w:kern w:val="2"/>
      <w:sz w:val="21"/>
      <w:szCs w:val="24"/>
      <w:lang w:val="en-US" w:eastAsia="zh-CN" w:bidi="ar-SA"/>
    </w:rPr>
  </w:style>
  <w:style w:type="paragraph" w:customStyle="1" w:styleId="15">
    <w:name w:val="修订2"/>
    <w:autoRedefine/>
    <w:qFormat/>
    <w:uiPriority w:val="0"/>
    <w:rPr>
      <w:rFonts w:ascii="Calibri" w:hAnsi="Calibri" w:eastAsia="宋体" w:cs="Arial"/>
      <w:kern w:val="2"/>
      <w:sz w:val="21"/>
      <w:szCs w:val="24"/>
      <w:lang w:val="en-US" w:eastAsia="zh-CN" w:bidi="ar-SA"/>
    </w:rPr>
  </w:style>
  <w:style w:type="paragraph" w:customStyle="1" w:styleId="16">
    <w:name w:val="_Style 2"/>
    <w:next w:val="1"/>
    <w:uiPriority w:val="0"/>
    <w:pPr>
      <w:wordWrap w:val="0"/>
    </w:pPr>
    <w:rPr>
      <w:rFonts w:ascii="Times New Roman" w:hAnsi="Times New Roman" w:eastAsia="Times New Roman" w:cs="宋体"/>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30</Pages>
  <Words>1941</Words>
  <Characters>11066</Characters>
  <Lines>92</Lines>
  <Paragraphs>25</Paragraphs>
  <TotalTime>0</TotalTime>
  <ScaleCrop>false</ScaleCrop>
  <LinksUpToDate>false</LinksUpToDate>
  <CharactersWithSpaces>12982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2024-02-20T02:32:00Z</dcterms:created>
  <dc:creator>Administrator</dc:creator>
  <cp:lastModifiedBy>断尾的猫</cp:lastModifiedBy>
  <cp:lastPrinted>2024-02-06T01:40:00Z</cp:lastPrinted>
  <dcterms:modified xsi:type="dcterms:W3CDTF">2024-02-20T06:16:34Z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B0C05F11965343DBB23A29D5B44049D1_13</vt:lpwstr>
  </property>
</Properties>
</file>