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南明区车水路周边棚户区改造项目</w:t>
      </w:r>
    </w:p>
    <w:p>
      <w:pPr>
        <w:spacing w:line="60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国有土地上房屋征收补偿方案</w:t>
      </w:r>
    </w:p>
    <w:p>
      <w:pPr>
        <w:snapToGrid w:val="0"/>
        <w:spacing w:line="480" w:lineRule="exact"/>
        <w:jc w:val="left"/>
        <w:rPr>
          <w:rFonts w:ascii="FangSong_GB2312" w:hAnsi="FangSong_GB2312" w:eastAsia="FangSong_GB2312" w:cs="FangSong_GB2312"/>
          <w:color w:val="000000" w:themeColor="text1"/>
          <w:sz w:val="32"/>
          <w:szCs w:val="32"/>
          <w14:textFill>
            <w14:solidFill>
              <w14:schemeClr w14:val="tx1"/>
            </w14:solidFill>
          </w14:textFill>
        </w:rPr>
      </w:pPr>
    </w:p>
    <w:p>
      <w:pPr>
        <w:snapToGrid w:val="0"/>
        <w:spacing w:line="480" w:lineRule="exact"/>
        <w:ind w:firstLine="640" w:firstLineChars="200"/>
        <w:jc w:val="left"/>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为加快贵阳市城市建设，经相关部门批准，进行南明区车水路周边棚户区改造项目建设，由贵阳市南明区人民政府对项目规划红线范围内国有土地上房屋实施征收。根据国务院《国有土地上房屋征收与补偿条例》（国务院第590号令）等相关法律法规的规定，结合被征收范围的实际情况，制定以下征收补偿方案：</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一、被征收房屋合法建筑面积、性质和用途的确定及所有权不明房屋的处理</w:t>
      </w:r>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征收房屋建筑面积、性质和用途等以房屋权属证书为准，被征收人对房屋权属证书证载建筑面积有异议的，可依法到产权登记部门申请确定。对于产权为按份共有、共同共有的被征收房屋，按照一物一权的原则以整体进行统一安置补偿。</w:t>
      </w:r>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（二）被征收房屋因历史遗留问题未进行合法性认定的，由区政府或南明区未经登记建筑合法性认定工作领导小组组织有关部门依法进行调查、认定，以认定结果进行补偿安置。</w:t>
      </w:r>
    </w:p>
    <w:p>
      <w:pPr>
        <w:snapToGrid w:val="0"/>
        <w:spacing w:line="480" w:lineRule="exact"/>
        <w:ind w:firstLine="640" w:firstLineChars="200"/>
        <w:jc w:val="left"/>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（三）被征收房屋所有权人不明确的，由房屋征收部门根据本方案拟定被征收房屋的征收补偿方案报南明区人民政府批准后经在征收范围内进行公示并证据保全进行拆除。</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二、被征收房屋价值的确定</w:t>
      </w:r>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w:t>
      </w:r>
      <w:bookmarkStart w:id="0" w:name="_Hlk535143623"/>
      <w:r>
        <w:rPr>
          <w:rFonts w:hint="eastAsia" w:ascii="方正仿宋_GBK" w:hAnsi="方正仿宋_GBK" w:eastAsia="方正仿宋_GBK" w:cs="方正仿宋_GBK"/>
          <w:color w:val="auto"/>
          <w:sz w:val="32"/>
          <w:szCs w:val="32"/>
        </w:rPr>
        <w:t>经在项目征收范围内发放选择评估机构民意调查表，由被征收人通过多数（半数以上）意见选定的房地产价格评估机构对被征收房屋进行评估，评估结果见各分户评估报告。</w:t>
      </w:r>
      <w:bookmarkEnd w:id="0"/>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w:t>
      </w:r>
      <w:bookmarkStart w:id="1" w:name="_Hlk535143641"/>
      <w:r>
        <w:rPr>
          <w:rFonts w:hint="eastAsia" w:ascii="方正仿宋_GBK" w:hAnsi="方正仿宋_GBK" w:eastAsia="方正仿宋_GBK" w:cs="方正仿宋_GBK"/>
          <w:color w:val="auto"/>
          <w:sz w:val="32"/>
          <w:szCs w:val="32"/>
        </w:rPr>
        <w:t>被征收人对被征收房屋评估结果有异议的，应当自收到分户评估报告后，按照分户评估报告载明的途径申请复核评估、鉴定。</w:t>
      </w:r>
      <w:bookmarkEnd w:id="1"/>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三、合法私有住宅房屋的安置补偿方式</w:t>
      </w:r>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（一）货币补偿</w:t>
      </w:r>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被征收人选择货币补偿的，由征收部门根据评估机构出具的评估报告对被征收人给予一次性货币补偿。</w:t>
      </w:r>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（二）房屋产权调换</w:t>
      </w:r>
    </w:p>
    <w:p>
      <w:pPr>
        <w:snapToGrid w:val="0"/>
        <w:spacing w:line="480" w:lineRule="exact"/>
        <w:ind w:firstLine="640" w:firstLineChars="200"/>
        <w:jc w:val="left"/>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征收人选择房屋产权调换的，原则上按不小于被征收房屋合法面积进行安置。被征收人与征收部门按被征收房屋评估价与产权调换房评估价进行结算，按规定结清被征收房屋价值与产权调换房价值差价后，被征收人享有产权调换房产权。</w:t>
      </w:r>
    </w:p>
    <w:p>
      <w:pPr>
        <w:snapToGrid w:val="0"/>
        <w:spacing w:line="480" w:lineRule="exact"/>
        <w:ind w:firstLine="640" w:firstLineChars="20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产权调换房源一览表（详见现场公示房源表）</w:t>
      </w:r>
    </w:p>
    <w:tbl>
      <w:tblPr>
        <w:tblStyle w:val="4"/>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1134"/>
        <w:gridCol w:w="1344"/>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4487" w:type="dxa"/>
            <w:vAlign w:val="center"/>
          </w:tcPr>
          <w:p>
            <w:pPr>
              <w:snapToGrid w:val="0"/>
              <w:spacing w:line="480" w:lineRule="exact"/>
              <w:jc w:val="center"/>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房源名称</w:t>
            </w:r>
          </w:p>
        </w:tc>
        <w:tc>
          <w:tcPr>
            <w:tcW w:w="1134" w:type="dxa"/>
            <w:vAlign w:val="center"/>
          </w:tcPr>
          <w:p>
            <w:pPr>
              <w:snapToGrid w:val="0"/>
              <w:spacing w:line="48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竣工</w:t>
            </w:r>
          </w:p>
          <w:p>
            <w:pPr>
              <w:snapToGrid w:val="0"/>
              <w:spacing w:line="480" w:lineRule="exact"/>
              <w:jc w:val="center"/>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情况</w:t>
            </w:r>
          </w:p>
        </w:tc>
        <w:tc>
          <w:tcPr>
            <w:tcW w:w="1344" w:type="dxa"/>
            <w:vAlign w:val="center"/>
          </w:tcPr>
          <w:p>
            <w:pPr>
              <w:snapToGrid w:val="0"/>
              <w:spacing w:line="48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过渡</w:t>
            </w:r>
          </w:p>
          <w:p>
            <w:pPr>
              <w:snapToGrid w:val="0"/>
              <w:spacing w:line="480" w:lineRule="exact"/>
              <w:jc w:val="center"/>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期限</w:t>
            </w:r>
          </w:p>
        </w:tc>
        <w:tc>
          <w:tcPr>
            <w:tcW w:w="1895" w:type="dxa"/>
            <w:vAlign w:val="center"/>
          </w:tcPr>
          <w:p>
            <w:pPr>
              <w:snapToGrid w:val="0"/>
              <w:spacing w:line="480" w:lineRule="exact"/>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过渡</w:t>
            </w:r>
          </w:p>
          <w:p>
            <w:pPr>
              <w:snapToGrid w:val="0"/>
              <w:spacing w:line="480" w:lineRule="exact"/>
              <w:jc w:val="center"/>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4487" w:type="dxa"/>
            <w:vAlign w:val="center"/>
          </w:tcPr>
          <w:p>
            <w:pPr>
              <w:snapToGrid w:val="0"/>
              <w:spacing w:line="48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铁建城·龙御</w:t>
            </w:r>
          </w:p>
        </w:tc>
        <w:tc>
          <w:tcPr>
            <w:tcW w:w="1134" w:type="dxa"/>
            <w:vAlign w:val="center"/>
          </w:tcPr>
          <w:p>
            <w:pPr>
              <w:snapToGrid w:val="0"/>
              <w:spacing w:line="48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期房</w:t>
            </w:r>
          </w:p>
        </w:tc>
        <w:tc>
          <w:tcPr>
            <w:tcW w:w="1344" w:type="dxa"/>
            <w:vAlign w:val="center"/>
          </w:tcPr>
          <w:p>
            <w:pPr>
              <w:snapToGrid w:val="0"/>
              <w:spacing w:line="48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36个月</w:t>
            </w:r>
          </w:p>
        </w:tc>
        <w:tc>
          <w:tcPr>
            <w:tcW w:w="1895" w:type="dxa"/>
            <w:vAlign w:val="center"/>
          </w:tcPr>
          <w:p>
            <w:pPr>
              <w:snapToGrid w:val="0"/>
              <w:spacing w:line="480" w:lineRule="exact"/>
              <w:jc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自行过渡</w:t>
            </w:r>
          </w:p>
        </w:tc>
      </w:tr>
    </w:tbl>
    <w:p>
      <w:pPr>
        <w:snapToGrid w:val="0"/>
        <w:spacing w:line="480" w:lineRule="exact"/>
        <w:ind w:firstLine="640" w:firstLineChars="200"/>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上述产权调换房源不分楼层及朝向，被征收人按照先签先选的原则进行签约安置。产权调换房评估单价详见现场公示的产权调换房评估结果。</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四、公房的安置补偿方式</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公房面积以产权测绘部门出具的测绘报告为依据，由征收部门按照产权单位（被征收人）出具的相关处置意见及承租人（使用人）清册进行安置补偿：</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（一）被征收人与承租人（使用人）解除租赁、使用关系的，由征收部门按约定对被征收人进行安置补偿。</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（二）被征收人未与承租人（使用人）解除租赁、使用关系的，由征收部门对被征收人进行房屋产权调换，产权调换房由承租人（使用人）继续承租（使用），原租赁（使用）关系不变。</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（三）对于被征收人同意房改的公房，由征收部门根据房改部门出具的相关文件及房产测绘部门出具的测绘报告对房改住户进行安置补偿。</w:t>
      </w:r>
    </w:p>
    <w:p>
      <w:pPr>
        <w:snapToGrid w:val="0"/>
        <w:spacing w:line="480" w:lineRule="exact"/>
        <w:ind w:firstLine="640" w:firstLineChars="200"/>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对于公房的其他安置补偿事宜，由征收部门按照公房产权单位出具的相关处置意见进行安置补偿。若公房产权单位未明确相关处置意见的，由征收部门对公房产权单位进行房屋产权调换，产权调换房由承租人（使用人）继续承租（使用），原租赁（使用）关系不变。</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五、房改房的安置补偿方式</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（一)被征收住宅房屋已进行房改并缴清土地收益金的，按照完全产权的私有住宅房屋进行安置补偿。</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被征收住宅房屋已进行房改但未补缴土地收益金的，被征收人应到房改部门补交土地收益金后按照完全产权的私有住宅房屋进行安置补偿；或由房改部门核算明确需补缴土地收益金后，可在签订的安置补偿协议中由征收部门进行代扣代缴。</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三）被征收住宅房屋部分进行房改的，在征求产权单位同意并取得房改部门相关文件后，被征收住户可进行房改并完善相关手续后按照私有住宅进行安置补偿；也可由房改部门核算被征收房屋房改相关费用后由征收部门在签订的安置补偿协议中进行代扣代缴，对被征收住户按照私有住宅房屋进行安置补偿。</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若产权单位不同意进行房改或被征收住户未申请进行房改的，应当对被征收住宅房屋实行产权调换，保持产权调换房屋与被征收住宅房屋的产权属性不变。</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六、划拨土地性质房屋的安置补偿方式</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土地性质为划拨或未办理土地使用证的合法房屋，可到国土部门补交土地出让金；已补交土地出让金的，按照完全产权的私有住房进行补偿安置，被征收人可选择货币补偿或产权调换。未补交土地出让金的，对选择货币补偿的被征收房屋将按照划拨土地性质据实评估后进行补偿；对选择产权调换的被征收房屋可在签订的安置补偿协议中由征收部门按照相关规定扣除经评估的土地出让金</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或保持产权调换房屋与被征收住宅房屋的产权属性不变。</w:t>
      </w:r>
    </w:p>
    <w:p>
      <w:pPr>
        <w:snapToGrid w:val="0"/>
        <w:spacing w:line="480" w:lineRule="exact"/>
        <w:ind w:firstLine="640" w:firstLineChars="200"/>
        <w:rPr>
          <w:rFonts w:hint="eastAsia" w:ascii="仿宋_GB2312" w:hAnsi="FangSong_GB2312" w:eastAsia="仿宋_GB2312" w:cs="FangSong_GB2312"/>
          <w:bCs/>
          <w:color w:val="000000" w:themeColor="text1"/>
          <w:kern w:val="0"/>
          <w:sz w:val="32"/>
          <w:szCs w:val="32"/>
          <w:shd w:val="clear" w:color="auto" w:fill="FFFFFF"/>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七、非住宅房屋的安置补偿</w:t>
      </w:r>
      <w:r>
        <w:rPr>
          <w:rFonts w:hint="eastAsia" w:ascii="黑体" w:hAnsi="黑体" w:eastAsia="黑体" w:cs="黑体"/>
          <w:b w:val="0"/>
          <w:bCs/>
          <w:color w:val="000000" w:themeColor="text1"/>
          <w:sz w:val="32"/>
          <w:szCs w:val="32"/>
          <w14:textFill>
            <w14:solidFill>
              <w14:schemeClr w14:val="tx1"/>
            </w14:solidFill>
          </w14:textFill>
        </w:rPr>
        <w:br w:type="textWrapping"/>
      </w:r>
      <w:r>
        <w:rPr>
          <w:rFonts w:hint="eastAsia" w:ascii="仿宋_GB2312" w:hAnsi="FangSong_GB2312" w:eastAsia="仿宋_GB2312" w:cs="FangSong_GB2312"/>
          <w:color w:val="000000" w:themeColor="text1"/>
          <w:sz w:val="32"/>
          <w:szCs w:val="32"/>
          <w14:textFill>
            <w14:solidFill>
              <w14:schemeClr w14:val="tx1"/>
            </w14:solidFill>
          </w14:textFill>
        </w:rPr>
        <w:t xml:space="preserve">    </w:t>
      </w:r>
      <w:r>
        <w:rPr>
          <w:rFonts w:hint="eastAsia" w:ascii="方正仿宋_GBK" w:hAnsi="方正仿宋_GBK" w:eastAsia="方正仿宋_GBK" w:cs="方正仿宋_GBK"/>
          <w:color w:val="auto"/>
          <w:sz w:val="32"/>
          <w:szCs w:val="32"/>
        </w:rPr>
        <w:t>本条所指非住宅房屋是房屋权属证书登记（或通过合法性认定）的用途为商业（或营业）、办公或其他的非住宅性质的房屋。由征收部门根据评估机构出具的评估报告对被征收人给予一次性货币补偿。</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八、搬迁费、临时安置费计发标准</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搬迁费，按被征收房屋合法建筑面积计算，住宅按照每次每平方米10元计发，非住宅按照每次每平方米20元计发。选择货币补偿的计发一次搬迁费；选择产权调换的计发两次搬迁费。如被征收住宅合法建筑面积不足45平方米，按45平方米计发。</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（二）产权调换的临时安置费</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产权调换房安置产生过渡的，由被征收人自行过渡，按被征收房屋合法建筑面积计算，住宅根据第三条第（二）款产权调换房对应的过渡期限按每月每平方米10元计发。产权调换房超期安置的，从逾期之日，每超期1个月，超期临时安置费标准按临时安置费标准（每月10元/㎡）在上月基础上逐月递增10%（即超期第n个月的超期临时安置费标准为：10×（1+10%）n元/㎡）。递增后的超期临时安置费标准最多不超过临时安置费标准的5倍（每月50元/㎡）。如被征收住宅合法建筑面积不足45平方米，按45平方米标准计发。</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eastAsia="zh-CN"/>
        </w:rPr>
        <w:t>（三）</w:t>
      </w:r>
      <w:r>
        <w:rPr>
          <w:rFonts w:hint="eastAsia" w:ascii="方正仿宋_GBK" w:hAnsi="方正仿宋_GBK" w:eastAsia="方正仿宋_GBK" w:cs="方正仿宋_GBK"/>
          <w:color w:val="auto"/>
          <w:sz w:val="32"/>
          <w:szCs w:val="32"/>
        </w:rPr>
        <w:t>货币补偿的临时安置费</w:t>
      </w:r>
    </w:p>
    <w:p>
      <w:pPr>
        <w:snapToGrid w:val="0"/>
        <w:spacing w:line="480" w:lineRule="exact"/>
        <w:ind w:firstLine="640" w:firstLineChars="200"/>
        <w:rPr>
          <w:rFonts w:hint="eastAsia" w:ascii="仿宋_GB2312" w:hAnsi="FangSong_GB2312" w:eastAsia="仿宋_GB2312" w:cs="FangSong_GB2312"/>
          <w:color w:val="000000" w:themeColor="text1"/>
          <w:sz w:val="32"/>
          <w:szCs w:val="32"/>
          <w14:textFill>
            <w14:solidFill>
              <w14:schemeClr w14:val="tx1"/>
            </w14:solidFill>
          </w14:textFill>
        </w:rPr>
      </w:pPr>
      <w:r>
        <w:rPr>
          <w:rFonts w:hint="eastAsia" w:ascii="方正仿宋_GBK" w:hAnsi="方正仿宋_GBK" w:eastAsia="方正仿宋_GBK" w:cs="方正仿宋_GBK"/>
          <w:color w:val="auto"/>
          <w:sz w:val="32"/>
          <w:szCs w:val="32"/>
        </w:rPr>
        <w:t>按被征收房屋合法建筑面积计发三个月，住宅每月每平方米10元，非住宅每月每平方米20元。如被征收住宅合法建筑面积不足45平方米，按45平方米标准计发。</w:t>
      </w:r>
    </w:p>
    <w:p>
      <w:pPr>
        <w:snapToGrid w:val="0"/>
        <w:spacing w:line="480" w:lineRule="exact"/>
        <w:ind w:firstLine="640" w:firstLineChars="200"/>
        <w:rPr>
          <w:rFonts w:hint="eastAsia" w:ascii="仿宋_GB2312" w:hAnsi="FangSong_GB2312" w:eastAsia="仿宋_GB2312" w:cs="FangSong_GB2312"/>
          <w:b/>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九、附属设施、装修及室内设施补偿</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（一）附属设施</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水泥院坝：15-30元/㎡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水泥空心砖围墙：120元/㎡、红砖围墙:150-180元/㎡、石砌围墙：120-170元/㎡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 xml:space="preserve">石砌堡坎、水沟、挡土墙：100-170元/m³  </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厕所：砖混：100-160元/m³</w:t>
      </w:r>
    </w:p>
    <w:p>
      <w:pPr>
        <w:snapToGrid w:val="0"/>
        <w:spacing w:line="480" w:lineRule="exact"/>
        <w:ind w:firstLine="1920" w:firstLineChars="6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砖木：80-130元/m³</w:t>
      </w:r>
    </w:p>
    <w:p>
      <w:pPr>
        <w:snapToGrid w:val="0"/>
        <w:spacing w:line="480" w:lineRule="exact"/>
        <w:ind w:firstLine="1920" w:firstLineChars="6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其它：50-100元/m³</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粪池：80-150元/m³</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门楼：500元/个</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7</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红砖、石砌、水泥粉面水沟：170元/m³</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8</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隔热层：30元/㎡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9</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女儿墙：45元/㎡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10</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水池、花池：100元/m³</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11</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灶台：80元/㎡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12</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简易棚：100-150元/㎡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13</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板房、钢架棚：300元/㎡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14</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外楼梯（投影面积）200元/㎡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15</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煤棚（层高不足）：300-500元/㎡</w:t>
      </w:r>
    </w:p>
    <w:p>
      <w:pPr>
        <w:snapToGrid w:val="0"/>
        <w:spacing w:line="48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（二）装修及室内设施</w:t>
      </w:r>
    </w:p>
    <w:tbl>
      <w:tblPr>
        <w:tblStyle w:val="4"/>
        <w:tblW w:w="9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805"/>
        <w:gridCol w:w="1559"/>
        <w:gridCol w:w="1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仿宋_GB2312" w:hAnsi="FangSong_GB2312" w:eastAsia="仿宋_GB2312" w:cs="FangSong_GB2312"/>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auto"/>
                <w:sz w:val="32"/>
                <w:szCs w:val="32"/>
              </w:rPr>
              <w:t>序号</w:t>
            </w:r>
          </w:p>
        </w:tc>
        <w:tc>
          <w:tcPr>
            <w:tcW w:w="4805" w:type="dxa"/>
            <w:vAlign w:val="center"/>
          </w:tcPr>
          <w:p>
            <w:pPr>
              <w:widowControl/>
              <w:spacing w:line="480" w:lineRule="exact"/>
              <w:jc w:val="center"/>
              <w:rPr>
                <w:rFonts w:hint="eastAsia" w:ascii="仿宋_GB2312" w:hAnsi="FangSong_GB2312" w:eastAsia="仿宋_GB2312" w:cs="FangSong_GB2312"/>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auto"/>
                <w:sz w:val="32"/>
                <w:szCs w:val="32"/>
              </w:rPr>
              <w:t>名称</w:t>
            </w:r>
          </w:p>
        </w:tc>
        <w:tc>
          <w:tcPr>
            <w:tcW w:w="1559" w:type="dxa"/>
            <w:vAlign w:val="center"/>
          </w:tcPr>
          <w:p>
            <w:pPr>
              <w:widowControl/>
              <w:spacing w:line="480" w:lineRule="exact"/>
              <w:jc w:val="center"/>
              <w:rPr>
                <w:rFonts w:hint="eastAsia" w:ascii="仿宋_GB2312" w:hAnsi="FangSong_GB2312" w:eastAsia="仿宋_GB2312" w:cs="FangSong_GB2312"/>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auto"/>
                <w:sz w:val="32"/>
                <w:szCs w:val="32"/>
              </w:rPr>
              <w:t>单位</w:t>
            </w:r>
          </w:p>
        </w:tc>
        <w:tc>
          <w:tcPr>
            <w:tcW w:w="1990" w:type="dxa"/>
            <w:vAlign w:val="center"/>
          </w:tcPr>
          <w:p>
            <w:pPr>
              <w:widowControl/>
              <w:spacing w:line="480" w:lineRule="exact"/>
              <w:jc w:val="center"/>
              <w:rPr>
                <w:rFonts w:hint="eastAsia" w:ascii="仿宋_GB2312" w:hAnsi="FangSong_GB2312" w:eastAsia="仿宋_GB2312" w:cs="FangSong_GB2312"/>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auto"/>
                <w:sz w:val="32"/>
                <w:szCs w:val="32"/>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电话（不计分机）</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门</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煤气（智能表）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煤气（普通表）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数字、有线电视</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独立水表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分水表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块</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7</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独立电表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分电表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块</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9</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动力电（迁移）</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10</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动力电（注销）</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11</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电脑宽带迁移</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12</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电热迁移</w:t>
            </w:r>
          </w:p>
        </w:tc>
        <w:tc>
          <w:tcPr>
            <w:tcW w:w="1559" w:type="dxa"/>
            <w:vAlign w:val="center"/>
          </w:tcPr>
          <w:p>
            <w:pPr>
              <w:widowControl/>
              <w:spacing w:line="480" w:lineRule="exact"/>
              <w:ind w:firstLine="480" w:firstLineChars="150"/>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户</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13</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热水器迁移</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台</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14</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空调迁移（柜机）</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台</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空调迁移(挂机)</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台</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16</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太阳能热水器迁移费</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台</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17</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瓷粉+乳胶漆</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18</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墙纸</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19</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保丽板、塑料扣板、普通木质地板、墙、顶</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瓷砖</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55-120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21</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木质吊顶</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22</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木墙裙</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23</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铝扣板顶、墙</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24</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石膏线条</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25</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木质线条</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26</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花岗石地板</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27</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大理石地板</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28</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竹、实木地板</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29</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强化复合地板</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优质铝合金门窗</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150-250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31</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普通铝合金门窗</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32</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塑钢窗</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33</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包门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34</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铁门、钢管防盗门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樘</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100-150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35</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优质全封闭防盗门(含附件)</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樘</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36</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普通全封闭防盗门(含附件)</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樘</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37</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实木门（套）</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樘</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38</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钢条防护栏</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39</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普通地板砖、水磨石</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60-120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40</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电视幕墙</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70-130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41</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卷帘门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42</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普通机压门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樘</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43</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整体浴室</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套</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1000-2000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44</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窗套</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樘</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45</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窗帘盒</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46</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钢质扶手</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47</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不锈钢扶手</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48</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铁艺扶手</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49</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钢筋、不锈钢护栏</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100-130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整体橱柜（普通）</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51</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整体橱柜（高级）</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800-1200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52</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吊柜</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300-400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53</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固定衣柜、储物柜（普通）</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300-500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54</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固定衣柜、储物柜（高级）</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500-800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55</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蹲式便器</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个</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56</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坐便器（带水箱）</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个</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57</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浴缸</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套</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800-1500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58</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台式面盆</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套</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59</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洗手盆、陶瓷拖把缸、洗涤缸</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个</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60</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遮阳雨棚</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61</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琉璃瓦</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62</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外墙砖</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20-30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63</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无油烟灶台</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400-600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64</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纱窗</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65</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暗线及开关、插座</w:t>
            </w:r>
          </w:p>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（按原房建筑面积计算）</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50-80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66</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地热（暖）</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180-350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67</w:t>
            </w:r>
          </w:p>
        </w:tc>
        <w:tc>
          <w:tcPr>
            <w:tcW w:w="4805"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装饰玻璃</w:t>
            </w:r>
          </w:p>
        </w:tc>
        <w:tc>
          <w:tcPr>
            <w:tcW w:w="1559"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平方米</w:t>
            </w:r>
          </w:p>
        </w:tc>
        <w:tc>
          <w:tcPr>
            <w:tcW w:w="1990" w:type="dxa"/>
            <w:vAlign w:val="center"/>
          </w:tcPr>
          <w:p>
            <w:pPr>
              <w:widowControl/>
              <w:spacing w:line="480" w:lineRule="exact"/>
              <w:jc w:val="center"/>
              <w:rPr>
                <w:rFonts w:hint="eastAsia" w:ascii="方正仿宋_GBK" w:hAnsi="方正仿宋_GBK" w:eastAsia="方正仿宋_GBK" w:cs="方正仿宋_GBK"/>
                <w:color w:val="000000" w:themeColor="text1"/>
                <w:kern w:val="0"/>
                <w:sz w:val="32"/>
                <w:szCs w:val="32"/>
                <w14:textFill>
                  <w14:solidFill>
                    <w14:schemeClr w14:val="tx1"/>
                  </w14:solidFill>
                </w14:textFill>
              </w:rPr>
            </w:pPr>
            <w:r>
              <w:rPr>
                <w:rFonts w:hint="eastAsia" w:ascii="方正仿宋_GBK" w:hAnsi="方正仿宋_GBK" w:eastAsia="方正仿宋_GBK" w:cs="方正仿宋_GBK"/>
                <w:color w:val="000000" w:themeColor="text1"/>
                <w:kern w:val="0"/>
                <w:sz w:val="32"/>
                <w:szCs w:val="32"/>
                <w14:textFill>
                  <w14:solidFill>
                    <w14:schemeClr w14:val="tx1"/>
                  </w14:solidFill>
                </w14:textFill>
              </w:rPr>
              <w:t>400</w:t>
            </w:r>
          </w:p>
        </w:tc>
      </w:tr>
    </w:tbl>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以上各种装修及附属设施数据由征收实施单位、被征收人、属地办事处共同核定后按上述标准给予补偿。涉及对装修、附属设施补偿单价有异议，装修、附属设施项目缺项，设备、设施搬迁等事宜，可由征收当事双方共同委托具有资质的评估单位对其评估后确定补偿价值。</w:t>
      </w:r>
    </w:p>
    <w:p>
      <w:pPr>
        <w:snapToGrid w:val="0"/>
        <w:spacing w:line="480" w:lineRule="exact"/>
        <w:ind w:firstLine="640" w:firstLineChars="200"/>
        <w:rPr>
          <w:rFonts w:hint="eastAsia" w:ascii="方正仿宋_GBK" w:hAnsi="方正仿宋_GBK" w:eastAsia="方正仿宋_GBK" w:cs="方正仿宋_GBK"/>
          <w:b/>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本条款补偿费由征收部门一次性发放给被征收人，涉及水、电、煤气等设施使用费用，由被征收人在领取补偿款前自行缴清，设施迁移及费用由被征收人自理。</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十、停产停业损失的补偿</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（一）参照黔府办发〔2011〕116号文中《贵州省国有土地上房屋征收停产停业损失补偿指导意见》的规定，被征收房屋符合以下条件的，应当给予停产停业损失补偿：</w:t>
      </w:r>
    </w:p>
    <w:p>
      <w:pPr>
        <w:snapToGrid w:val="0"/>
        <w:spacing w:line="480" w:lineRule="exact"/>
        <w:ind w:firstLine="320" w:firstLineChars="1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　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被征收人提供合法有效的经营手续，或属地办事处出具的事实经营证明的;</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房屋征收公告发布前持续经营的;</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因征收房屋造成停产停业损失的。</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（二）征收房屋造成的停产停业损失，按照以下分类和标准进行补偿：</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1</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被征收人能够提供税务部门出具在被征收房屋内经营产生的上一年度月均应纳税所得额证明的，按照上一年度月均应纳税所得额计发六个月的经营性损失补偿。</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被征收人不能提供税务部门出具在被征收房屋内经营产生的上一年度月均应纳税所得额证明的，可由评估机构评估经营性损失补偿。</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3</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被征收人能够提供向社会保险经办机构缴纳社会保险费凭证的，按照上一年度本单位职工月均工资总额（或上一年度职工月均</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社保缴费基数</w:t>
      </w:r>
      <w:r>
        <w:rPr>
          <w:rFonts w:hint="eastAsia" w:ascii="方正仿宋_GBK" w:hAnsi="方正仿宋_GBK" w:eastAsia="方正仿宋_GBK" w:cs="方正仿宋_GBK"/>
          <w:color w:val="000000" w:themeColor="text1"/>
          <w:sz w:val="32"/>
          <w:szCs w:val="32"/>
          <w14:textFill>
            <w14:solidFill>
              <w14:schemeClr w14:val="tx1"/>
            </w14:solidFill>
          </w14:textFill>
        </w:rPr>
        <w:t>）计算每月的职工失业补助，计发六个月。</w:t>
      </w:r>
    </w:p>
    <w:p>
      <w:pPr>
        <w:snapToGrid w:val="0"/>
        <w:spacing w:line="480" w:lineRule="exact"/>
        <w:ind w:firstLine="633" w:firstLineChars="198"/>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4</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被征收人不能够提供向社会保险经办机构缴纳社会保险费凭证，但又存在事实用工（含经营者本人）行为的，由属地办事处据实核定用工人员，按照贵阳市现行最低工资标准计算劳动用工失业补助，计发六个月。</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十一、房屋权属证书登记用途或经合法性认定为合法住宅，但已改变为非住宅房屋，被征收人能提供合法有效的经营手续，或提供属地</w:t>
      </w:r>
      <w:bookmarkStart w:id="2" w:name="_Hlk535145473"/>
      <w:r>
        <w:rPr>
          <w:rFonts w:hint="eastAsia" w:ascii="黑体" w:hAnsi="黑体" w:eastAsia="黑体" w:cs="黑体"/>
          <w:b w:val="0"/>
          <w:bCs/>
          <w:color w:val="000000" w:themeColor="text1"/>
          <w:sz w:val="32"/>
          <w:szCs w:val="32"/>
          <w14:textFill>
            <w14:solidFill>
              <w14:schemeClr w14:val="tx1"/>
            </w14:solidFill>
          </w14:textFill>
        </w:rPr>
        <w:t>办事处</w:t>
      </w:r>
      <w:bookmarkEnd w:id="2"/>
      <w:r>
        <w:rPr>
          <w:rFonts w:hint="eastAsia" w:ascii="黑体" w:hAnsi="黑体" w:eastAsia="黑体" w:cs="黑体"/>
          <w:b w:val="0"/>
          <w:bCs/>
          <w:color w:val="000000" w:themeColor="text1"/>
          <w:sz w:val="32"/>
          <w:szCs w:val="32"/>
          <w14:textFill>
            <w14:solidFill>
              <w14:schemeClr w14:val="tx1"/>
            </w14:solidFill>
          </w14:textFill>
        </w:rPr>
        <w:t>出具的事实经营（改变用途）证明的，参照黔府办发〔2011〕116号文中《贵州省国有土地上房屋征收停产停业损失补偿指导意见》的相关规定适当提高实际用于非住宅的房屋价值的补偿。</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十二、本项目征收签约期限为2021年</w:t>
      </w:r>
      <w:r>
        <w:rPr>
          <w:rFonts w:hint="eastAsia" w:ascii="黑体" w:hAnsi="黑体" w:eastAsia="黑体" w:cs="黑体"/>
          <w:b w:val="0"/>
          <w:bCs/>
          <w:color w:val="000000" w:themeColor="text1"/>
          <w:sz w:val="32"/>
          <w:szCs w:val="32"/>
          <w:lang w:val="en-US" w:eastAsia="zh-CN"/>
          <w14:textFill>
            <w14:solidFill>
              <w14:schemeClr w14:val="tx1"/>
            </w14:solidFill>
          </w14:textFill>
        </w:rPr>
        <w:t>8</w:t>
      </w:r>
      <w:r>
        <w:rPr>
          <w:rFonts w:hint="eastAsia" w:ascii="黑体" w:hAnsi="黑体" w:eastAsia="黑体" w:cs="黑体"/>
          <w:b w:val="0"/>
          <w:bCs/>
          <w:color w:val="000000" w:themeColor="text1"/>
          <w:sz w:val="32"/>
          <w:szCs w:val="32"/>
          <w14:textFill>
            <w14:solidFill>
              <w14:schemeClr w14:val="tx1"/>
            </w14:solidFill>
          </w14:textFill>
        </w:rPr>
        <w:t>月</w:t>
      </w:r>
      <w:r>
        <w:rPr>
          <w:rFonts w:hint="eastAsia" w:ascii="黑体" w:hAnsi="黑体" w:eastAsia="黑体" w:cs="黑体"/>
          <w:b w:val="0"/>
          <w:bCs/>
          <w:color w:val="000000" w:themeColor="text1"/>
          <w:sz w:val="32"/>
          <w:szCs w:val="32"/>
          <w:lang w:val="en-US" w:eastAsia="zh-CN"/>
          <w14:textFill>
            <w14:solidFill>
              <w14:schemeClr w14:val="tx1"/>
            </w14:solidFill>
          </w14:textFill>
        </w:rPr>
        <w:t>6</w:t>
      </w:r>
      <w:r>
        <w:rPr>
          <w:rFonts w:hint="eastAsia" w:ascii="黑体" w:hAnsi="黑体" w:eastAsia="黑体" w:cs="黑体"/>
          <w:b w:val="0"/>
          <w:bCs/>
          <w:color w:val="000000" w:themeColor="text1"/>
          <w:sz w:val="32"/>
          <w:szCs w:val="32"/>
          <w14:textFill>
            <w14:solidFill>
              <w14:schemeClr w14:val="tx1"/>
            </w14:solidFill>
          </w14:textFill>
        </w:rPr>
        <w:t>日至2021年</w:t>
      </w:r>
      <w:r>
        <w:rPr>
          <w:rFonts w:hint="eastAsia" w:ascii="黑体" w:hAnsi="黑体" w:eastAsia="黑体" w:cs="黑体"/>
          <w:b w:val="0"/>
          <w:bCs/>
          <w:color w:val="000000" w:themeColor="text1"/>
          <w:sz w:val="32"/>
          <w:szCs w:val="32"/>
          <w:lang w:val="en-US" w:eastAsia="zh-CN"/>
          <w14:textFill>
            <w14:solidFill>
              <w14:schemeClr w14:val="tx1"/>
            </w14:solidFill>
          </w14:textFill>
        </w:rPr>
        <w:t>9</w:t>
      </w:r>
      <w:r>
        <w:rPr>
          <w:rFonts w:hint="eastAsia" w:ascii="黑体" w:hAnsi="黑体" w:eastAsia="黑体" w:cs="黑体"/>
          <w:b w:val="0"/>
          <w:bCs/>
          <w:color w:val="000000" w:themeColor="text1"/>
          <w:sz w:val="32"/>
          <w:szCs w:val="32"/>
          <w14:textFill>
            <w14:solidFill>
              <w14:schemeClr w14:val="tx1"/>
            </w14:solidFill>
          </w14:textFill>
        </w:rPr>
        <w:t>月</w:t>
      </w:r>
      <w:r>
        <w:rPr>
          <w:rFonts w:hint="eastAsia" w:ascii="黑体" w:hAnsi="黑体" w:eastAsia="黑体" w:cs="黑体"/>
          <w:b w:val="0"/>
          <w:bCs/>
          <w:color w:val="000000" w:themeColor="text1"/>
          <w:sz w:val="32"/>
          <w:szCs w:val="32"/>
          <w:lang w:val="en-US" w:eastAsia="zh-CN"/>
          <w14:textFill>
            <w14:solidFill>
              <w14:schemeClr w14:val="tx1"/>
            </w14:solidFill>
          </w14:textFill>
        </w:rPr>
        <w:t>19</w:t>
      </w:r>
      <w:r>
        <w:rPr>
          <w:rFonts w:hint="eastAsia" w:ascii="黑体" w:hAnsi="黑体" w:eastAsia="黑体" w:cs="黑体"/>
          <w:b w:val="0"/>
          <w:bCs/>
          <w:color w:val="000000" w:themeColor="text1"/>
          <w:sz w:val="32"/>
          <w:szCs w:val="32"/>
          <w14:textFill>
            <w14:solidFill>
              <w14:schemeClr w14:val="tx1"/>
            </w14:solidFill>
          </w14:textFill>
        </w:rPr>
        <w:t>日。在本项目征收公告确定的签约期限内未签约又未搬迁交房的，不给予相关补助及奖励。在本项目征收公告确定的签约期限内未签约又未搬迁交房的，由房屋征收部门报请贵阳市南明区人民政府依照国务院《国有土地上房屋征收与补偿条例》的相关规定，按照本项目征收补偿方案的相关规定作出补偿决定，并在房屋征收范围内予以公告。被征收人在法定期限内不申请行政复议或者不提起行政诉讼，在补偿决定规定期限内又不搬迁的，由贵阳市南明区人民政府依法申请人民法院强制执行。</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十三、本方案只适用于南明区车水路周边棚户区改造项目征收范围内国有土地上房屋征收。</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十四、本方案由房屋征收部门负责解释。</w:t>
      </w:r>
    </w:p>
    <w:p>
      <w:pPr>
        <w:snapToGrid w:val="0"/>
        <w:spacing w:line="480" w:lineRule="exact"/>
        <w:ind w:firstLine="640" w:firstLineChars="20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十五、本方案未尽事宜，按国务院《国有土地上房屋征收与补偿条例》等相关法规及省、市、区有关文件执行。</w:t>
      </w:r>
    </w:p>
    <w:p>
      <w:pPr>
        <w:snapToGrid w:val="0"/>
        <w:spacing w:line="480" w:lineRule="exact"/>
        <w:ind w:right="480"/>
        <w:jc w:val="right"/>
        <w:rPr>
          <w:rFonts w:hint="eastAsia" w:ascii="仿宋_GB2312" w:hAnsi="FangSong_GB2312" w:eastAsia="仿宋_GB2312" w:cs="FangSong_GB2312"/>
          <w:color w:val="000000" w:themeColor="text1"/>
          <w:sz w:val="32"/>
          <w:szCs w:val="32"/>
          <w14:textFill>
            <w14:solidFill>
              <w14:schemeClr w14:val="tx1"/>
            </w14:solidFill>
          </w14:textFill>
        </w:rPr>
      </w:pPr>
    </w:p>
    <w:p>
      <w:pPr>
        <w:snapToGrid w:val="0"/>
        <w:spacing w:line="480" w:lineRule="exact"/>
        <w:ind w:right="480"/>
        <w:jc w:val="right"/>
        <w:rPr>
          <w:rFonts w:hint="eastAsia" w:ascii="方正仿宋_GBK" w:hAnsi="方正仿宋_GBK" w:eastAsia="方正仿宋_GBK" w:cs="方正仿宋_GBK"/>
          <w:color w:val="000000" w:themeColor="text1"/>
          <w:sz w:val="32"/>
          <w:szCs w:val="32"/>
          <w14:textFill>
            <w14:solidFill>
              <w14:schemeClr w14:val="tx1"/>
            </w14:solidFill>
          </w14:textFill>
        </w:rPr>
      </w:pPr>
    </w:p>
    <w:p>
      <w:pPr>
        <w:snapToGrid w:val="0"/>
        <w:spacing w:line="480" w:lineRule="exact"/>
        <w:ind w:right="480"/>
        <w:jc w:val="right"/>
        <w:rPr>
          <w:rFonts w:hint="eastAsia" w:ascii="方正仿宋_GBK" w:hAnsi="方正仿宋_GBK" w:eastAsia="方正仿宋_GBK" w:cs="方正仿宋_GBK"/>
          <w:color w:val="000000" w:themeColor="text1"/>
          <w:sz w:val="32"/>
          <w:szCs w:val="32"/>
          <w14:textFill>
            <w14:solidFill>
              <w14:schemeClr w14:val="tx1"/>
            </w14:solidFill>
          </w14:textFill>
        </w:rPr>
      </w:pPr>
    </w:p>
    <w:p>
      <w:pPr>
        <w:snapToGrid w:val="0"/>
        <w:spacing w:line="480" w:lineRule="exact"/>
        <w:ind w:right="480"/>
        <w:jc w:val="right"/>
        <w:rPr>
          <w:rFonts w:hint="eastAsia" w:ascii="方正仿宋_GBK" w:hAnsi="方正仿宋_GBK" w:eastAsia="方正仿宋_GBK" w:cs="方正仿宋_GBK"/>
          <w:color w:val="000000" w:themeColor="text1"/>
          <w:sz w:val="32"/>
          <w:szCs w:val="32"/>
          <w14:textFill>
            <w14:solidFill>
              <w14:schemeClr w14:val="tx1"/>
            </w14:solidFill>
          </w14:textFill>
        </w:rPr>
      </w:pPr>
    </w:p>
    <w:p>
      <w:pPr>
        <w:snapToGrid w:val="0"/>
        <w:spacing w:line="480" w:lineRule="exact"/>
        <w:ind w:right="480"/>
        <w:jc w:val="right"/>
        <w:rPr>
          <w:rFonts w:hint="eastAsia" w:ascii="方正仿宋_GBK" w:hAnsi="方正仿宋_GBK" w:eastAsia="方正仿宋_GBK" w:cs="方正仿宋_GBK"/>
          <w:color w:val="000000" w:themeColor="text1"/>
          <w:sz w:val="32"/>
          <w:szCs w:val="32"/>
          <w14:textFill>
            <w14:solidFill>
              <w14:schemeClr w14:val="tx1"/>
            </w14:solidFill>
          </w14:textFill>
        </w:rPr>
      </w:pPr>
    </w:p>
    <w:p>
      <w:pPr>
        <w:snapToGrid w:val="0"/>
        <w:spacing w:line="480" w:lineRule="exact"/>
        <w:ind w:right="300"/>
        <w:jc w:val="right"/>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2021年</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8</w:t>
      </w:r>
      <w:r>
        <w:rPr>
          <w:rFonts w:hint="eastAsia" w:ascii="方正仿宋_GBK" w:hAnsi="方正仿宋_GBK" w:eastAsia="方正仿宋_GBK" w:cs="方正仿宋_GBK"/>
          <w:color w:val="000000" w:themeColor="text1"/>
          <w:sz w:val="32"/>
          <w:szCs w:val="32"/>
          <w14:textFill>
            <w14:solidFill>
              <w14:schemeClr w14:val="tx1"/>
            </w14:solidFill>
          </w14:textFill>
        </w:rPr>
        <w:t>月</w:t>
      </w:r>
      <w:r>
        <w:rPr>
          <w:rFonts w:hint="eastAsia" w:ascii="方正仿宋_GBK" w:hAnsi="方正仿宋_GBK" w:eastAsia="方正仿宋_GBK" w:cs="方正仿宋_GBK"/>
          <w:b w:val="0"/>
          <w:bCs/>
          <w:color w:val="000000" w:themeColor="text1"/>
          <w:sz w:val="32"/>
          <w:szCs w:val="32"/>
          <w:lang w:val="en-US" w:eastAsia="zh-CN"/>
          <w14:textFill>
            <w14:solidFill>
              <w14:schemeClr w14:val="tx1"/>
            </w14:solidFill>
          </w14:textFill>
        </w:rPr>
        <w:t>3</w:t>
      </w:r>
      <w:r>
        <w:rPr>
          <w:rFonts w:hint="eastAsia" w:ascii="方正仿宋_GBK" w:hAnsi="方正仿宋_GBK" w:eastAsia="方正仿宋_GBK" w:cs="方正仿宋_GBK"/>
          <w:color w:val="000000" w:themeColor="text1"/>
          <w:sz w:val="32"/>
          <w:szCs w:val="32"/>
          <w14:textFill>
            <w14:solidFill>
              <w14:schemeClr w14:val="tx1"/>
            </w14:solidFill>
          </w14:textFill>
        </w:rPr>
        <w:t>日</w:t>
      </w:r>
    </w:p>
    <w:p>
      <w:pPr>
        <w:adjustRightInd w:val="0"/>
        <w:snapToGrid w:val="0"/>
        <w:spacing w:line="480" w:lineRule="exact"/>
        <w:ind w:firstLine="640" w:firstLineChars="200"/>
        <w:jc w:val="right"/>
        <w:rPr>
          <w:rFonts w:hint="eastAsia" w:ascii="方正仿宋_GBK" w:hAnsi="方正仿宋_GBK" w:eastAsia="方正仿宋_GBK" w:cs="方正仿宋_GBK"/>
          <w:color w:val="auto"/>
          <w:sz w:val="32"/>
          <w:szCs w:val="32"/>
        </w:rPr>
      </w:pPr>
      <w:bookmarkStart w:id="3" w:name="_GoBack"/>
      <w:bookmarkEnd w:id="3"/>
    </w:p>
    <w:sectPr>
      <w:footerReference r:id="rId3" w:type="default"/>
      <w:pgSz w:w="11906" w:h="16838"/>
      <w:pgMar w:top="1020" w:right="1474" w:bottom="907" w:left="1474" w:header="737" w:footer="68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- 12 -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- 12 -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D9E"/>
    <w:rsid w:val="00007F91"/>
    <w:rsid w:val="00060B8B"/>
    <w:rsid w:val="00071514"/>
    <w:rsid w:val="00073E30"/>
    <w:rsid w:val="00084C52"/>
    <w:rsid w:val="000A12AD"/>
    <w:rsid w:val="000D5692"/>
    <w:rsid w:val="000E2E20"/>
    <w:rsid w:val="000E3A08"/>
    <w:rsid w:val="000F0AD8"/>
    <w:rsid w:val="00125957"/>
    <w:rsid w:val="00134E04"/>
    <w:rsid w:val="0014663A"/>
    <w:rsid w:val="001700F9"/>
    <w:rsid w:val="00197153"/>
    <w:rsid w:val="001A19B8"/>
    <w:rsid w:val="001C60AA"/>
    <w:rsid w:val="002022A8"/>
    <w:rsid w:val="0023026A"/>
    <w:rsid w:val="00243D07"/>
    <w:rsid w:val="002742E2"/>
    <w:rsid w:val="002A7CBD"/>
    <w:rsid w:val="002C3971"/>
    <w:rsid w:val="002D1673"/>
    <w:rsid w:val="002D7C3B"/>
    <w:rsid w:val="002E35EB"/>
    <w:rsid w:val="00333433"/>
    <w:rsid w:val="00376EC9"/>
    <w:rsid w:val="003B7BED"/>
    <w:rsid w:val="003C6503"/>
    <w:rsid w:val="003F3202"/>
    <w:rsid w:val="00400701"/>
    <w:rsid w:val="00404E6D"/>
    <w:rsid w:val="004133B5"/>
    <w:rsid w:val="0044477D"/>
    <w:rsid w:val="004A263D"/>
    <w:rsid w:val="004A2F2E"/>
    <w:rsid w:val="004C1EB6"/>
    <w:rsid w:val="004E071A"/>
    <w:rsid w:val="004F16FF"/>
    <w:rsid w:val="005333A7"/>
    <w:rsid w:val="00552057"/>
    <w:rsid w:val="00561168"/>
    <w:rsid w:val="005B7D39"/>
    <w:rsid w:val="005D4458"/>
    <w:rsid w:val="005F4DCF"/>
    <w:rsid w:val="005F6562"/>
    <w:rsid w:val="00603D9E"/>
    <w:rsid w:val="006258D2"/>
    <w:rsid w:val="006D1B57"/>
    <w:rsid w:val="006F0F3C"/>
    <w:rsid w:val="0072165C"/>
    <w:rsid w:val="007750A5"/>
    <w:rsid w:val="00794466"/>
    <w:rsid w:val="007D68D4"/>
    <w:rsid w:val="007D7D4C"/>
    <w:rsid w:val="008268CC"/>
    <w:rsid w:val="00832405"/>
    <w:rsid w:val="00870F4A"/>
    <w:rsid w:val="0087120E"/>
    <w:rsid w:val="008750D2"/>
    <w:rsid w:val="008C5B86"/>
    <w:rsid w:val="00942A63"/>
    <w:rsid w:val="00977770"/>
    <w:rsid w:val="009A2282"/>
    <w:rsid w:val="009B342A"/>
    <w:rsid w:val="009C0F2C"/>
    <w:rsid w:val="009C2467"/>
    <w:rsid w:val="009C4625"/>
    <w:rsid w:val="009D6159"/>
    <w:rsid w:val="009E2334"/>
    <w:rsid w:val="009E33B1"/>
    <w:rsid w:val="00A06585"/>
    <w:rsid w:val="00A168D4"/>
    <w:rsid w:val="00A42429"/>
    <w:rsid w:val="00A810A1"/>
    <w:rsid w:val="00A97D4C"/>
    <w:rsid w:val="00AA2A48"/>
    <w:rsid w:val="00AB2131"/>
    <w:rsid w:val="00AE12C5"/>
    <w:rsid w:val="00B14C0A"/>
    <w:rsid w:val="00B409DF"/>
    <w:rsid w:val="00B45111"/>
    <w:rsid w:val="00B65BFC"/>
    <w:rsid w:val="00B725EF"/>
    <w:rsid w:val="00B7383C"/>
    <w:rsid w:val="00B839F3"/>
    <w:rsid w:val="00BB354E"/>
    <w:rsid w:val="00BB412B"/>
    <w:rsid w:val="00C00119"/>
    <w:rsid w:val="00C009F0"/>
    <w:rsid w:val="00C432E4"/>
    <w:rsid w:val="00C45372"/>
    <w:rsid w:val="00C87F0F"/>
    <w:rsid w:val="00CC538C"/>
    <w:rsid w:val="00CD48F1"/>
    <w:rsid w:val="00CD5BAD"/>
    <w:rsid w:val="00CD71F2"/>
    <w:rsid w:val="00D208F1"/>
    <w:rsid w:val="00D5044B"/>
    <w:rsid w:val="00D54920"/>
    <w:rsid w:val="00D67327"/>
    <w:rsid w:val="00D74B2B"/>
    <w:rsid w:val="00DA07BC"/>
    <w:rsid w:val="00DA5FB3"/>
    <w:rsid w:val="00DC536D"/>
    <w:rsid w:val="00DE3775"/>
    <w:rsid w:val="00DE5DCE"/>
    <w:rsid w:val="00E40D56"/>
    <w:rsid w:val="00E40F8D"/>
    <w:rsid w:val="00E41CFE"/>
    <w:rsid w:val="00E85305"/>
    <w:rsid w:val="00EB1D94"/>
    <w:rsid w:val="00EB2A2C"/>
    <w:rsid w:val="00ED1BD3"/>
    <w:rsid w:val="00EF2831"/>
    <w:rsid w:val="00F44C1C"/>
    <w:rsid w:val="00F450A1"/>
    <w:rsid w:val="00FD0A4D"/>
    <w:rsid w:val="015F065A"/>
    <w:rsid w:val="01F4660D"/>
    <w:rsid w:val="04DB517E"/>
    <w:rsid w:val="05995363"/>
    <w:rsid w:val="06515BD4"/>
    <w:rsid w:val="06CE3509"/>
    <w:rsid w:val="071274BC"/>
    <w:rsid w:val="076C3E0A"/>
    <w:rsid w:val="08FA6B0A"/>
    <w:rsid w:val="0910603D"/>
    <w:rsid w:val="0A09418D"/>
    <w:rsid w:val="0A3712A3"/>
    <w:rsid w:val="0A54109E"/>
    <w:rsid w:val="0AA62D3B"/>
    <w:rsid w:val="0AA81037"/>
    <w:rsid w:val="0D0E62D6"/>
    <w:rsid w:val="0ECD0A77"/>
    <w:rsid w:val="0F0A1F15"/>
    <w:rsid w:val="0FDA1568"/>
    <w:rsid w:val="0FE06DA9"/>
    <w:rsid w:val="10B2689C"/>
    <w:rsid w:val="12C3231F"/>
    <w:rsid w:val="13D710BA"/>
    <w:rsid w:val="159477F8"/>
    <w:rsid w:val="16FC7F31"/>
    <w:rsid w:val="17B833AC"/>
    <w:rsid w:val="181A7576"/>
    <w:rsid w:val="19462E19"/>
    <w:rsid w:val="1A5871FE"/>
    <w:rsid w:val="1AB009E0"/>
    <w:rsid w:val="1AD43EE5"/>
    <w:rsid w:val="1AF1434A"/>
    <w:rsid w:val="1AF5742E"/>
    <w:rsid w:val="1CCE0326"/>
    <w:rsid w:val="1CDC477A"/>
    <w:rsid w:val="1D1E76B2"/>
    <w:rsid w:val="1F737258"/>
    <w:rsid w:val="1FF51F36"/>
    <w:rsid w:val="21AA02F2"/>
    <w:rsid w:val="21B7094A"/>
    <w:rsid w:val="22172A12"/>
    <w:rsid w:val="22462019"/>
    <w:rsid w:val="224956E9"/>
    <w:rsid w:val="260F5A93"/>
    <w:rsid w:val="278B68D3"/>
    <w:rsid w:val="28336ED4"/>
    <w:rsid w:val="28E762C0"/>
    <w:rsid w:val="2A296426"/>
    <w:rsid w:val="2AEC6C7B"/>
    <w:rsid w:val="2BBE6A46"/>
    <w:rsid w:val="2C9E6494"/>
    <w:rsid w:val="2D705893"/>
    <w:rsid w:val="2D7275B1"/>
    <w:rsid w:val="2E7E16D8"/>
    <w:rsid w:val="2F600D86"/>
    <w:rsid w:val="2F607BA2"/>
    <w:rsid w:val="30115F29"/>
    <w:rsid w:val="309112ED"/>
    <w:rsid w:val="314813A6"/>
    <w:rsid w:val="315F6516"/>
    <w:rsid w:val="33005BBF"/>
    <w:rsid w:val="344F3737"/>
    <w:rsid w:val="353811DD"/>
    <w:rsid w:val="35D728EB"/>
    <w:rsid w:val="36E1106F"/>
    <w:rsid w:val="37346F7A"/>
    <w:rsid w:val="379A376E"/>
    <w:rsid w:val="38163EB2"/>
    <w:rsid w:val="38CD6047"/>
    <w:rsid w:val="398D760D"/>
    <w:rsid w:val="39AE6DC5"/>
    <w:rsid w:val="3A101C28"/>
    <w:rsid w:val="3A2A09D4"/>
    <w:rsid w:val="3AA9180E"/>
    <w:rsid w:val="3C63217F"/>
    <w:rsid w:val="3DB660B2"/>
    <w:rsid w:val="3E367D12"/>
    <w:rsid w:val="3E43798B"/>
    <w:rsid w:val="3E7A13A9"/>
    <w:rsid w:val="3EF533B6"/>
    <w:rsid w:val="40783546"/>
    <w:rsid w:val="41462EB9"/>
    <w:rsid w:val="41544378"/>
    <w:rsid w:val="42CE4DB9"/>
    <w:rsid w:val="43796221"/>
    <w:rsid w:val="43AB72B0"/>
    <w:rsid w:val="44251D82"/>
    <w:rsid w:val="44F97EEC"/>
    <w:rsid w:val="45441834"/>
    <w:rsid w:val="45B159DA"/>
    <w:rsid w:val="45C4719E"/>
    <w:rsid w:val="45E03374"/>
    <w:rsid w:val="461677D7"/>
    <w:rsid w:val="4854799E"/>
    <w:rsid w:val="489A5DE4"/>
    <w:rsid w:val="48C52688"/>
    <w:rsid w:val="4ABD2C24"/>
    <w:rsid w:val="4B645ABD"/>
    <w:rsid w:val="4C7A2912"/>
    <w:rsid w:val="4DE32390"/>
    <w:rsid w:val="4E4D6A58"/>
    <w:rsid w:val="4EFA6DA9"/>
    <w:rsid w:val="50642F7F"/>
    <w:rsid w:val="50824DA9"/>
    <w:rsid w:val="51AC4826"/>
    <w:rsid w:val="51B6268E"/>
    <w:rsid w:val="51F20A3B"/>
    <w:rsid w:val="52D5324C"/>
    <w:rsid w:val="53DC759D"/>
    <w:rsid w:val="54314A77"/>
    <w:rsid w:val="54486330"/>
    <w:rsid w:val="54810484"/>
    <w:rsid w:val="549051A0"/>
    <w:rsid w:val="54B817C1"/>
    <w:rsid w:val="554D32F9"/>
    <w:rsid w:val="55B45C43"/>
    <w:rsid w:val="56F015A4"/>
    <w:rsid w:val="572560F5"/>
    <w:rsid w:val="585705C5"/>
    <w:rsid w:val="59733756"/>
    <w:rsid w:val="598C7746"/>
    <w:rsid w:val="59CB6379"/>
    <w:rsid w:val="5B0A66AA"/>
    <w:rsid w:val="5BEC1EF3"/>
    <w:rsid w:val="5C7B636B"/>
    <w:rsid w:val="5DB73C7E"/>
    <w:rsid w:val="5E2429CF"/>
    <w:rsid w:val="5E362253"/>
    <w:rsid w:val="5F305FF8"/>
    <w:rsid w:val="5FF83C1F"/>
    <w:rsid w:val="62FF5F83"/>
    <w:rsid w:val="63B00C15"/>
    <w:rsid w:val="63CB2F07"/>
    <w:rsid w:val="63DC4C50"/>
    <w:rsid w:val="63F95C64"/>
    <w:rsid w:val="63FB45AC"/>
    <w:rsid w:val="64026691"/>
    <w:rsid w:val="65376762"/>
    <w:rsid w:val="65AE29F9"/>
    <w:rsid w:val="67815135"/>
    <w:rsid w:val="69A54C05"/>
    <w:rsid w:val="6B1716D3"/>
    <w:rsid w:val="6BA14D01"/>
    <w:rsid w:val="6C813F5F"/>
    <w:rsid w:val="6CBE5DFD"/>
    <w:rsid w:val="6D115345"/>
    <w:rsid w:val="6DE16761"/>
    <w:rsid w:val="6F3532A1"/>
    <w:rsid w:val="6FF66EE3"/>
    <w:rsid w:val="70095872"/>
    <w:rsid w:val="704B358E"/>
    <w:rsid w:val="70FF1734"/>
    <w:rsid w:val="71640B53"/>
    <w:rsid w:val="72823A12"/>
    <w:rsid w:val="730525AC"/>
    <w:rsid w:val="73706194"/>
    <w:rsid w:val="75845E29"/>
    <w:rsid w:val="75920ECF"/>
    <w:rsid w:val="76D730CD"/>
    <w:rsid w:val="76EE0652"/>
    <w:rsid w:val="76EE2C43"/>
    <w:rsid w:val="77A64448"/>
    <w:rsid w:val="7A296548"/>
    <w:rsid w:val="7AC4560D"/>
    <w:rsid w:val="7BAF068F"/>
    <w:rsid w:val="7BC21352"/>
    <w:rsid w:val="7BD263A7"/>
    <w:rsid w:val="7C4071A1"/>
    <w:rsid w:val="7C7869B5"/>
    <w:rsid w:val="7CAB26C8"/>
    <w:rsid w:val="7CBF6FF9"/>
    <w:rsid w:val="7F881582"/>
    <w:rsid w:val="7FC550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1186</Words>
  <Characters>6764</Characters>
  <Lines>56</Lines>
  <Paragraphs>15</Paragraphs>
  <TotalTime>4</TotalTime>
  <ScaleCrop>false</ScaleCrop>
  <LinksUpToDate>false</LinksUpToDate>
  <CharactersWithSpaces>7935</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2020-04-28T01:38:00Z</dcterms:created>
  <dc:creator>WPS_1543365514</dc:creator>
  <cp:lastModifiedBy>陈明春</cp:lastModifiedBy>
  <cp:lastPrinted>2021-06-04T10:24:00Z</cp:lastPrinted>
  <dcterms:modified xsi:type="dcterms:W3CDTF">2021-08-16T09:28:35Z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E6BCC9CCF8864069AA84DCB8301D381D</vt:lpwstr>
  </property>
</Properties>
</file>