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附件3</w:t>
      </w:r>
    </w:p>
    <w:p>
      <w:pPr>
        <w:spacing w:line="600" w:lineRule="exact"/>
        <w:jc w:val="both"/>
        <w:rPr>
          <w:rFonts w:hint="default" w:ascii="仿宋" w:hAnsi="仿宋" w:eastAsia="仿宋" w:cs="仿宋"/>
          <w:color w:val="000000"/>
          <w:sz w:val="32"/>
          <w:szCs w:val="32"/>
          <w:lang w:val="en-US" w:eastAsia="zh-CN"/>
        </w:rPr>
      </w:pP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关于给予劳动保障诚信企业联合激励措施</w:t>
      </w: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的意见（试行）</w:t>
      </w:r>
    </w:p>
    <w:p>
      <w:pPr>
        <w:spacing w:line="600" w:lineRule="exact"/>
        <w:jc w:val="center"/>
        <w:rPr>
          <w:rFonts w:hint="eastAsia" w:ascii="方正小标宋简体" w:hAnsi="方正小标宋简体" w:eastAsia="方正小标宋简体" w:cs="方正小标宋简体"/>
          <w:color w:val="000000"/>
          <w:sz w:val="44"/>
          <w:szCs w:val="44"/>
        </w:rPr>
      </w:pPr>
    </w:p>
    <w:p>
      <w:pPr>
        <w:spacing w:line="600" w:lineRule="exact"/>
        <w:rPr>
          <w:rFonts w:ascii="仿宋" w:hAnsi="仿宋" w:eastAsia="仿宋" w:cs="仿宋_GB2312"/>
          <w:sz w:val="32"/>
          <w:szCs w:val="32"/>
        </w:rPr>
      </w:pPr>
      <w:r>
        <w:rPr>
          <w:rFonts w:hint="eastAsia" w:ascii="仿宋" w:hAnsi="仿宋" w:eastAsia="仿宋" w:cs="仿宋_GB2312"/>
          <w:sz w:val="32"/>
          <w:szCs w:val="32"/>
        </w:rPr>
        <w:t>区根治拖欠农民工工资工作领导小组各成员单位：</w:t>
      </w:r>
    </w:p>
    <w:p>
      <w:pPr>
        <w:adjustRightInd w:val="0"/>
        <w:spacing w:line="600" w:lineRule="exact"/>
        <w:ind w:firstLine="640" w:firstLineChars="200"/>
        <w:rPr>
          <w:rFonts w:ascii="仿宋" w:hAnsi="仿宋" w:eastAsia="仿宋" w:cs="仿宋_GB2312"/>
          <w:sz w:val="32"/>
          <w:szCs w:val="32"/>
        </w:rPr>
      </w:pPr>
      <w:r>
        <w:rPr>
          <w:rFonts w:hint="eastAsia" w:ascii="仿宋" w:hAnsi="仿宋" w:eastAsia="仿宋"/>
          <w:sz w:val="32"/>
          <w:szCs w:val="40"/>
        </w:rPr>
        <w:t>为严格落实党中央、国务院和省、市、区党委、政府关于保障农民工工资支付工作的决策部署，切实从源头上解决拖欠农民工工资问题，</w:t>
      </w:r>
      <w:r>
        <w:rPr>
          <w:rFonts w:hint="eastAsia" w:ascii="仿宋" w:hAnsi="仿宋" w:eastAsia="仿宋" w:cs="仿宋_GB2312"/>
          <w:sz w:val="32"/>
          <w:szCs w:val="32"/>
        </w:rPr>
        <w:t>进一步完善劳动保障诚信体系建设，建立长效的诚信企业服务机制，结合当前工作新形势，经研究，决定对我区劳动保障诚信企业给予以下联合激励措施：</w:t>
      </w:r>
    </w:p>
    <w:p>
      <w:pPr>
        <w:adjustRightIn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一、通报表扬</w:t>
      </w:r>
    </w:p>
    <w:p>
      <w:pPr>
        <w:pStyle w:val="12"/>
        <w:spacing w:line="600" w:lineRule="exact"/>
        <w:ind w:firstLine="640"/>
        <w:rPr>
          <w:rFonts w:ascii="仿宋" w:hAnsi="仿宋" w:eastAsia="仿宋" w:cs="仿宋_GB2312"/>
          <w:sz w:val="32"/>
          <w:szCs w:val="32"/>
        </w:rPr>
      </w:pPr>
      <w:r>
        <w:rPr>
          <w:rFonts w:hint="eastAsia" w:ascii="仿宋" w:hAnsi="仿宋" w:eastAsia="仿宋" w:cs="仿宋_GB2312"/>
          <w:sz w:val="32"/>
          <w:szCs w:val="32"/>
        </w:rPr>
        <w:t>被评为劳动保障诚信企业的单位，将由南明区根治拖欠农民工工资工作领导小组命名为“南明区劳动保障诚信企业”，在全区范围通报表扬。</w:t>
      </w:r>
    </w:p>
    <w:p>
      <w:pPr>
        <w:adjustRightIn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二、政策支持</w:t>
      </w:r>
    </w:p>
    <w:p>
      <w:pPr>
        <w:pStyle w:val="12"/>
        <w:spacing w:line="600" w:lineRule="exact"/>
        <w:ind w:firstLine="640"/>
        <w:rPr>
          <w:rFonts w:ascii="仿宋" w:hAnsi="仿宋" w:eastAsia="仿宋" w:cs="仿宋_GB2312"/>
          <w:sz w:val="32"/>
          <w:szCs w:val="32"/>
        </w:rPr>
      </w:pPr>
      <w:r>
        <w:rPr>
          <w:rFonts w:hint="eastAsia" w:ascii="仿宋" w:hAnsi="仿宋" w:eastAsia="仿宋" w:cs="仿宋_GB2312"/>
          <w:sz w:val="32"/>
          <w:szCs w:val="32"/>
          <w:lang w:eastAsia="zh-CN"/>
        </w:rPr>
        <w:t>一是</w:t>
      </w:r>
      <w:r>
        <w:rPr>
          <w:rFonts w:hint="eastAsia" w:ascii="仿宋" w:hAnsi="仿宋" w:eastAsia="仿宋" w:cs="仿宋_GB2312"/>
          <w:sz w:val="32"/>
          <w:szCs w:val="32"/>
        </w:rPr>
        <w:t>劳动保障诚信企业在上市或其它用途需要开具劳动用工合规证明，在没有举报或投诉情况下免于审查，不列入劳动保障监察日常巡查和主动监察对象，不进行主动社保稽核。</w:t>
      </w:r>
    </w:p>
    <w:p>
      <w:pPr>
        <w:pStyle w:val="12"/>
        <w:spacing w:line="600" w:lineRule="exact"/>
        <w:ind w:firstLine="640"/>
        <w:rPr>
          <w:rFonts w:ascii="仿宋" w:hAnsi="仿宋" w:eastAsia="仿宋" w:cs="仿宋_GB2312"/>
          <w:sz w:val="32"/>
          <w:szCs w:val="32"/>
        </w:rPr>
      </w:pPr>
      <w:r>
        <w:rPr>
          <w:rFonts w:hint="eastAsia" w:ascii="仿宋" w:hAnsi="仿宋" w:eastAsia="仿宋" w:cs="仿宋_GB2312"/>
          <w:sz w:val="32"/>
          <w:szCs w:val="32"/>
          <w:lang w:eastAsia="zh-CN"/>
        </w:rPr>
        <w:t>二是</w:t>
      </w:r>
      <w:r>
        <w:rPr>
          <w:rFonts w:hint="eastAsia" w:ascii="仿宋" w:hAnsi="仿宋" w:eastAsia="仿宋" w:cs="仿宋_GB2312"/>
          <w:sz w:val="32"/>
          <w:szCs w:val="32"/>
        </w:rPr>
        <w:t>灵活运用说服教育、行政指导等柔性执法方式，主动为生产经营单位提供“容错支持”，在法律法规范围内最大限度减少不利影响。对首次发现的生产经营单位轻微违法行为且法律法规明确非必须处罚的，采取主动指导、及时纠错等措施，免于行政处罚。</w:t>
      </w:r>
    </w:p>
    <w:p>
      <w:pPr>
        <w:adjustRightIn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三、评优推荐</w:t>
      </w:r>
    </w:p>
    <w:p>
      <w:pPr>
        <w:pStyle w:val="12"/>
        <w:spacing w:line="600" w:lineRule="exact"/>
        <w:ind w:firstLine="640"/>
        <w:rPr>
          <w:rFonts w:ascii="仿宋" w:hAnsi="仿宋" w:eastAsia="仿宋" w:cs="仿宋_GB2312"/>
          <w:sz w:val="32"/>
          <w:szCs w:val="32"/>
        </w:rPr>
      </w:pPr>
      <w:r>
        <w:rPr>
          <w:rFonts w:hint="eastAsia" w:ascii="仿宋" w:hAnsi="仿宋" w:eastAsia="仿宋" w:cs="仿宋_GB2312"/>
          <w:sz w:val="32"/>
          <w:szCs w:val="32"/>
        </w:rPr>
        <w:t>在参加南明区文明单位创建评选、道德模范创建评选等评先选优活动中劳动保障诚信企业及负责人、优秀员工优先推荐。</w:t>
      </w:r>
    </w:p>
    <w:p>
      <w:pPr>
        <w:adjustRightIn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四、服务升级</w:t>
      </w:r>
    </w:p>
    <w:p>
      <w:pPr>
        <w:pStyle w:val="12"/>
        <w:spacing w:line="600" w:lineRule="exact"/>
        <w:ind w:firstLine="640"/>
        <w:rPr>
          <w:rFonts w:ascii="仿宋" w:hAnsi="仿宋" w:eastAsia="仿宋" w:cs="仿宋_GB2312"/>
          <w:sz w:val="32"/>
          <w:szCs w:val="32"/>
        </w:rPr>
      </w:pPr>
      <w:r>
        <w:rPr>
          <w:rFonts w:hint="eastAsia" w:ascii="仿宋" w:hAnsi="仿宋" w:eastAsia="仿宋" w:cs="仿宋_GB2312"/>
          <w:sz w:val="32"/>
          <w:szCs w:val="32"/>
          <w:lang w:eastAsia="zh-CN"/>
        </w:rPr>
        <w:t>一是</w:t>
      </w:r>
      <w:r>
        <w:rPr>
          <w:rFonts w:hint="eastAsia" w:ascii="仿宋" w:hAnsi="仿宋" w:eastAsia="仿宋" w:cs="仿宋_GB2312"/>
          <w:sz w:val="32"/>
          <w:szCs w:val="32"/>
        </w:rPr>
        <w:t>对劳动保障诚信企业开辟绿色通道，在工商行政许可、安全生产行政审批等工作中优先快速办理。</w:t>
      </w:r>
    </w:p>
    <w:p>
      <w:pPr>
        <w:pStyle w:val="12"/>
        <w:spacing w:line="600" w:lineRule="exact"/>
        <w:ind w:firstLine="640"/>
        <w:rPr>
          <w:rFonts w:ascii="仿宋" w:hAnsi="仿宋" w:eastAsia="仿宋" w:cs="仿宋_GB2312"/>
          <w:sz w:val="32"/>
          <w:szCs w:val="32"/>
        </w:rPr>
      </w:pPr>
      <w:r>
        <w:rPr>
          <w:rFonts w:hint="eastAsia" w:ascii="仿宋" w:hAnsi="仿宋" w:eastAsia="仿宋" w:cs="仿宋_GB2312"/>
          <w:sz w:val="32"/>
          <w:szCs w:val="32"/>
          <w:lang w:eastAsia="zh-CN"/>
        </w:rPr>
        <w:t>二是</w:t>
      </w:r>
      <w:r>
        <w:rPr>
          <w:rFonts w:hint="eastAsia" w:ascii="仿宋" w:hAnsi="仿宋" w:eastAsia="仿宋" w:cs="仿宋_GB2312"/>
          <w:sz w:val="32"/>
          <w:szCs w:val="32"/>
        </w:rPr>
        <w:t>对劳动保障诚信企业提供技术人才实训服务及实训交流；为企业引进各类高层次人才搭建桥梁，提供便利服务；为企业员工职称评定、工伤认定建立绿色通道；提供优质的就业服务，优先组织开展校企合作、集中招聘等活动。</w:t>
      </w:r>
    </w:p>
    <w:p>
      <w:pPr>
        <w:adjustRightIn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五、宣传推广</w:t>
      </w:r>
    </w:p>
    <w:p>
      <w:pPr>
        <w:pStyle w:val="12"/>
        <w:spacing w:line="600" w:lineRule="exact"/>
        <w:ind w:firstLine="640"/>
        <w:rPr>
          <w:rFonts w:ascii="仿宋" w:hAnsi="仿宋" w:eastAsia="仿宋" w:cs="仿宋_GB2312"/>
          <w:sz w:val="32"/>
          <w:szCs w:val="32"/>
        </w:rPr>
      </w:pPr>
      <w:r>
        <w:rPr>
          <w:rFonts w:hint="eastAsia" w:ascii="仿宋" w:hAnsi="仿宋" w:eastAsia="仿宋" w:cs="仿宋_GB2312"/>
          <w:sz w:val="32"/>
          <w:szCs w:val="32"/>
          <w:lang w:eastAsia="zh-CN"/>
        </w:rPr>
        <w:t>一是</w:t>
      </w:r>
      <w:r>
        <w:rPr>
          <w:rFonts w:hint="eastAsia" w:ascii="仿宋" w:hAnsi="仿宋" w:eastAsia="仿宋" w:cs="仿宋_GB2312"/>
          <w:sz w:val="32"/>
          <w:szCs w:val="32"/>
        </w:rPr>
        <w:t>各部门充分利用网络、电视、报纸等宣传平台，广泛宣传劳动保障诚信企业，积极开展形式多样的诚信企业宣传活动，提高诚信企业的社会知名度，在全区范围内营造争创劳动保障诚信企业的浓厚氛围。</w:t>
      </w:r>
    </w:p>
    <w:p>
      <w:pPr>
        <w:pStyle w:val="12"/>
        <w:spacing w:line="600" w:lineRule="exact"/>
        <w:ind w:firstLine="640"/>
        <w:rPr>
          <w:rFonts w:ascii="仿宋" w:hAnsi="仿宋" w:eastAsia="仿宋" w:cs="仿宋_GB2312"/>
          <w:sz w:val="32"/>
          <w:szCs w:val="32"/>
        </w:rPr>
      </w:pPr>
      <w:r>
        <w:rPr>
          <w:rFonts w:hint="eastAsia" w:ascii="仿宋" w:hAnsi="仿宋" w:eastAsia="仿宋" w:cs="仿宋_GB2312"/>
          <w:sz w:val="32"/>
          <w:szCs w:val="32"/>
          <w:lang w:eastAsia="zh-CN"/>
        </w:rPr>
        <w:t>二是</w:t>
      </w:r>
      <w:r>
        <w:rPr>
          <w:rFonts w:hint="eastAsia" w:ascii="仿宋" w:hAnsi="仿宋" w:eastAsia="仿宋" w:cs="仿宋_GB2312"/>
          <w:sz w:val="32"/>
          <w:szCs w:val="32"/>
        </w:rPr>
        <w:t>各部门要充分认识到建立联合激励机制的重要意义，确保各项激励举措有效落实，并根据部门职责完善相应的实施办法清单，在本意见基础上补充相关激励政策，提高诚信企业的吸引力，进一步扩大诚信企业覆盖面，从而在全社会营造诚实守信的良好氛围。</w:t>
      </w:r>
    </w:p>
    <w:p>
      <w:pPr>
        <w:pStyle w:val="12"/>
        <w:spacing w:line="600" w:lineRule="exact"/>
        <w:ind w:left="0" w:leftChars="0" w:firstLine="0" w:firstLineChars="0"/>
        <w:rPr>
          <w:rFonts w:hint="eastAsia" w:ascii="仿宋" w:hAnsi="仿宋" w:eastAsia="仿宋" w:cs="仿宋_GB2312"/>
          <w:sz w:val="32"/>
          <w:szCs w:val="32"/>
        </w:rPr>
      </w:pPr>
    </w:p>
    <w:p>
      <w:pPr>
        <w:pStyle w:val="12"/>
        <w:spacing w:line="600" w:lineRule="exact"/>
        <w:ind w:left="0" w:leftChars="0" w:firstLine="640" w:firstLineChars="200"/>
        <w:rPr>
          <w:rFonts w:ascii="仿宋" w:hAnsi="仿宋" w:eastAsia="仿宋" w:cs="仿宋_GB2312"/>
          <w:sz w:val="32"/>
          <w:szCs w:val="32"/>
        </w:rPr>
      </w:pPr>
      <w:r>
        <w:rPr>
          <w:rFonts w:hint="eastAsia" w:ascii="仿宋" w:hAnsi="仿宋" w:eastAsia="仿宋" w:cs="仿宋_GB2312"/>
          <w:sz w:val="32"/>
          <w:szCs w:val="32"/>
        </w:rPr>
        <w:t>附件：联合激励措施实施办法清单</w:t>
      </w:r>
    </w:p>
    <w:p>
      <w:pPr>
        <w:pStyle w:val="12"/>
        <w:spacing w:line="600" w:lineRule="exact"/>
        <w:ind w:firstLine="640"/>
        <w:rPr>
          <w:rFonts w:ascii="仿宋" w:hAnsi="仿宋" w:eastAsia="仿宋" w:cs="仿宋_GB2312"/>
          <w:sz w:val="32"/>
          <w:szCs w:val="32"/>
        </w:rPr>
      </w:pPr>
    </w:p>
    <w:p>
      <w:pPr>
        <w:pStyle w:val="12"/>
        <w:spacing w:line="600" w:lineRule="exact"/>
        <w:ind w:firstLine="0" w:firstLineChars="0"/>
        <w:rPr>
          <w:rFonts w:ascii="仿宋" w:hAnsi="仿宋" w:eastAsia="仿宋" w:cs="仿宋_GB2312"/>
          <w:sz w:val="32"/>
          <w:szCs w:val="32"/>
        </w:rPr>
      </w:pPr>
    </w:p>
    <w:p>
      <w:pPr>
        <w:pStyle w:val="12"/>
        <w:spacing w:line="600" w:lineRule="exact"/>
        <w:ind w:firstLine="5760" w:firstLineChars="1800"/>
        <w:rPr>
          <w:rFonts w:ascii="仿宋" w:hAnsi="仿宋" w:eastAsia="仿宋" w:cs="仿宋_GB2312"/>
          <w:sz w:val="32"/>
          <w:szCs w:val="32"/>
        </w:rPr>
      </w:pPr>
      <w:r>
        <w:rPr>
          <w:rFonts w:hint="eastAsia" w:ascii="仿宋" w:hAnsi="仿宋" w:eastAsia="仿宋" w:cs="仿宋_GB2312"/>
          <w:sz w:val="32"/>
          <w:szCs w:val="32"/>
        </w:rPr>
        <w:t xml:space="preserve">        </w:t>
      </w:r>
    </w:p>
    <w:p>
      <w:pPr>
        <w:pStyle w:val="12"/>
        <w:spacing w:line="600" w:lineRule="exact"/>
        <w:ind w:firstLine="0" w:firstLineChars="0"/>
        <w:jc w:val="left"/>
        <w:rPr>
          <w:rFonts w:ascii="仿宋" w:hAnsi="仿宋" w:eastAsia="仿宋" w:cs="黑体"/>
          <w:color w:val="000000"/>
          <w:spacing w:val="-2"/>
          <w:sz w:val="32"/>
          <w:szCs w:val="32"/>
        </w:rPr>
      </w:pPr>
    </w:p>
    <w:p>
      <w:pPr>
        <w:pStyle w:val="12"/>
        <w:spacing w:line="560" w:lineRule="exact"/>
        <w:ind w:firstLine="0" w:firstLineChars="0"/>
        <w:jc w:val="left"/>
        <w:rPr>
          <w:rFonts w:ascii="仿宋" w:hAnsi="仿宋" w:eastAsia="仿宋" w:cs="黑体"/>
          <w:color w:val="000000"/>
          <w:spacing w:val="-2"/>
          <w:sz w:val="32"/>
          <w:szCs w:val="32"/>
        </w:rPr>
      </w:pPr>
    </w:p>
    <w:p>
      <w:pPr>
        <w:pStyle w:val="12"/>
        <w:spacing w:line="560" w:lineRule="exact"/>
        <w:ind w:firstLine="0" w:firstLineChars="0"/>
        <w:jc w:val="left"/>
        <w:rPr>
          <w:rFonts w:ascii="仿宋" w:hAnsi="仿宋" w:eastAsia="仿宋" w:cs="黑体"/>
          <w:color w:val="000000"/>
          <w:spacing w:val="-2"/>
          <w:sz w:val="32"/>
          <w:szCs w:val="32"/>
        </w:rPr>
      </w:pPr>
    </w:p>
    <w:p>
      <w:pPr>
        <w:pStyle w:val="12"/>
        <w:spacing w:line="560" w:lineRule="exact"/>
        <w:ind w:firstLine="0" w:firstLineChars="0"/>
        <w:jc w:val="left"/>
        <w:rPr>
          <w:rFonts w:ascii="仿宋" w:hAnsi="仿宋" w:eastAsia="仿宋" w:cs="黑体"/>
          <w:color w:val="000000"/>
          <w:spacing w:val="-2"/>
          <w:sz w:val="32"/>
          <w:szCs w:val="32"/>
        </w:rPr>
      </w:pPr>
    </w:p>
    <w:p>
      <w:pPr>
        <w:pStyle w:val="12"/>
        <w:spacing w:line="560" w:lineRule="exact"/>
        <w:ind w:firstLine="0" w:firstLineChars="0"/>
        <w:jc w:val="left"/>
        <w:rPr>
          <w:rFonts w:ascii="仿宋" w:hAnsi="仿宋" w:eastAsia="仿宋" w:cs="黑体"/>
          <w:color w:val="000000"/>
          <w:spacing w:val="-2"/>
          <w:sz w:val="32"/>
          <w:szCs w:val="32"/>
        </w:rPr>
      </w:pPr>
    </w:p>
    <w:p>
      <w:pPr>
        <w:pStyle w:val="12"/>
        <w:spacing w:line="560" w:lineRule="exact"/>
        <w:ind w:firstLine="0" w:firstLineChars="0"/>
        <w:jc w:val="left"/>
        <w:rPr>
          <w:rFonts w:ascii="仿宋" w:hAnsi="仿宋" w:eastAsia="仿宋" w:cs="黑体"/>
          <w:color w:val="000000"/>
          <w:spacing w:val="-2"/>
          <w:sz w:val="32"/>
          <w:szCs w:val="32"/>
        </w:rPr>
      </w:pPr>
    </w:p>
    <w:p>
      <w:pPr>
        <w:pStyle w:val="12"/>
        <w:spacing w:line="560" w:lineRule="exact"/>
        <w:ind w:firstLine="0" w:firstLineChars="0"/>
        <w:jc w:val="left"/>
        <w:rPr>
          <w:rFonts w:ascii="仿宋" w:hAnsi="仿宋" w:eastAsia="仿宋" w:cs="黑体"/>
          <w:color w:val="000000"/>
          <w:spacing w:val="-2"/>
          <w:sz w:val="32"/>
          <w:szCs w:val="32"/>
        </w:rPr>
      </w:pPr>
    </w:p>
    <w:p>
      <w:pPr>
        <w:pStyle w:val="12"/>
        <w:spacing w:line="560" w:lineRule="exact"/>
        <w:ind w:firstLine="0" w:firstLineChars="0"/>
        <w:jc w:val="left"/>
        <w:rPr>
          <w:rFonts w:ascii="仿宋" w:hAnsi="仿宋" w:eastAsia="仿宋" w:cs="黑体"/>
          <w:color w:val="000000"/>
          <w:spacing w:val="-2"/>
          <w:sz w:val="32"/>
          <w:szCs w:val="32"/>
        </w:rPr>
      </w:pPr>
    </w:p>
    <w:p>
      <w:pPr>
        <w:pStyle w:val="12"/>
        <w:spacing w:line="560" w:lineRule="exact"/>
        <w:ind w:firstLine="0" w:firstLineChars="0"/>
        <w:jc w:val="left"/>
        <w:rPr>
          <w:rFonts w:ascii="仿宋" w:hAnsi="仿宋" w:eastAsia="仿宋" w:cs="黑体"/>
          <w:color w:val="000000"/>
          <w:spacing w:val="-2"/>
          <w:sz w:val="32"/>
          <w:szCs w:val="32"/>
        </w:rPr>
      </w:pPr>
    </w:p>
    <w:p>
      <w:pPr>
        <w:pStyle w:val="12"/>
        <w:spacing w:line="560" w:lineRule="exact"/>
        <w:ind w:firstLine="0" w:firstLineChars="0"/>
        <w:jc w:val="left"/>
        <w:rPr>
          <w:rFonts w:hint="eastAsia" w:ascii="仿宋" w:hAnsi="仿宋" w:eastAsia="仿宋" w:cs="黑体"/>
          <w:color w:val="000000"/>
          <w:spacing w:val="-2"/>
          <w:sz w:val="32"/>
          <w:szCs w:val="32"/>
        </w:rPr>
      </w:pPr>
    </w:p>
    <w:p>
      <w:pPr>
        <w:pStyle w:val="12"/>
        <w:spacing w:line="560" w:lineRule="exact"/>
        <w:ind w:firstLine="0" w:firstLineChars="0"/>
        <w:jc w:val="left"/>
        <w:rPr>
          <w:rFonts w:hint="eastAsia" w:ascii="仿宋" w:hAnsi="仿宋" w:eastAsia="仿宋" w:cs="黑体"/>
          <w:color w:val="000000"/>
          <w:spacing w:val="-2"/>
          <w:sz w:val="32"/>
          <w:szCs w:val="32"/>
        </w:rPr>
      </w:pPr>
    </w:p>
    <w:p>
      <w:pPr>
        <w:pStyle w:val="12"/>
        <w:spacing w:line="560" w:lineRule="exact"/>
        <w:ind w:firstLine="0" w:firstLineChars="0"/>
        <w:jc w:val="left"/>
        <w:rPr>
          <w:rFonts w:hint="eastAsia" w:ascii="仿宋" w:hAnsi="仿宋" w:eastAsia="仿宋" w:cs="黑体"/>
          <w:color w:val="000000"/>
          <w:spacing w:val="-2"/>
          <w:sz w:val="32"/>
          <w:szCs w:val="32"/>
        </w:rPr>
      </w:pPr>
    </w:p>
    <w:p>
      <w:pPr>
        <w:pStyle w:val="12"/>
        <w:spacing w:line="560" w:lineRule="exact"/>
        <w:ind w:firstLine="0" w:firstLineChars="0"/>
        <w:jc w:val="left"/>
        <w:rPr>
          <w:rFonts w:hint="eastAsia" w:ascii="仿宋" w:hAnsi="仿宋" w:eastAsia="仿宋" w:cs="黑体"/>
          <w:color w:val="000000"/>
          <w:spacing w:val="-2"/>
          <w:sz w:val="32"/>
          <w:szCs w:val="32"/>
        </w:rPr>
      </w:pPr>
    </w:p>
    <w:p>
      <w:pPr>
        <w:pStyle w:val="12"/>
        <w:spacing w:line="560" w:lineRule="exact"/>
        <w:ind w:firstLine="0" w:firstLineChars="0"/>
        <w:jc w:val="left"/>
        <w:rPr>
          <w:rFonts w:hint="eastAsia" w:ascii="仿宋" w:hAnsi="仿宋" w:eastAsia="仿宋" w:cs="黑体"/>
          <w:color w:val="000000"/>
          <w:spacing w:val="-2"/>
          <w:sz w:val="32"/>
          <w:szCs w:val="32"/>
        </w:rPr>
      </w:pPr>
    </w:p>
    <w:p>
      <w:pPr>
        <w:pStyle w:val="12"/>
        <w:spacing w:line="560" w:lineRule="exact"/>
        <w:ind w:firstLine="0" w:firstLineChars="0"/>
        <w:jc w:val="left"/>
        <w:rPr>
          <w:rFonts w:hint="eastAsia" w:ascii="仿宋" w:hAnsi="仿宋" w:eastAsia="仿宋" w:cs="黑体"/>
          <w:color w:val="000000"/>
          <w:spacing w:val="-2"/>
          <w:sz w:val="32"/>
          <w:szCs w:val="32"/>
        </w:rPr>
      </w:pPr>
    </w:p>
    <w:p>
      <w:pPr>
        <w:pStyle w:val="12"/>
        <w:spacing w:line="560" w:lineRule="exact"/>
        <w:ind w:firstLine="0" w:firstLineChars="0"/>
        <w:jc w:val="left"/>
        <w:rPr>
          <w:rFonts w:hint="eastAsia" w:ascii="仿宋" w:hAnsi="仿宋" w:eastAsia="仿宋" w:cs="黑体"/>
          <w:color w:val="000000"/>
          <w:spacing w:val="-2"/>
          <w:sz w:val="32"/>
          <w:szCs w:val="32"/>
        </w:rPr>
      </w:pPr>
    </w:p>
    <w:p>
      <w:pPr>
        <w:pStyle w:val="12"/>
        <w:spacing w:line="560" w:lineRule="exact"/>
        <w:ind w:firstLine="0" w:firstLineChars="0"/>
        <w:jc w:val="left"/>
        <w:rPr>
          <w:rFonts w:hint="eastAsia" w:ascii="仿宋" w:hAnsi="仿宋" w:eastAsia="仿宋" w:cs="黑体"/>
          <w:color w:val="000000"/>
          <w:spacing w:val="-2"/>
          <w:sz w:val="32"/>
          <w:szCs w:val="32"/>
        </w:rPr>
      </w:pPr>
    </w:p>
    <w:p>
      <w:pPr>
        <w:pStyle w:val="12"/>
        <w:spacing w:line="560" w:lineRule="exact"/>
        <w:ind w:firstLine="0" w:firstLineChars="0"/>
        <w:jc w:val="left"/>
        <w:rPr>
          <w:rFonts w:hint="eastAsia" w:ascii="宋体" w:hAnsi="宋体" w:eastAsia="宋体" w:cs="宋体"/>
          <w:color w:val="000000"/>
          <w:spacing w:val="-2"/>
          <w:sz w:val="32"/>
          <w:szCs w:val="32"/>
        </w:rPr>
      </w:pPr>
      <w:r>
        <w:rPr>
          <w:rFonts w:hint="eastAsia" w:ascii="宋体" w:hAnsi="宋体" w:eastAsia="宋体" w:cs="宋体"/>
          <w:color w:val="000000"/>
          <w:spacing w:val="-2"/>
          <w:sz w:val="32"/>
          <w:szCs w:val="32"/>
        </w:rPr>
        <w:t>附件</w:t>
      </w:r>
      <w:bookmarkStart w:id="0" w:name="_GoBack"/>
      <w:bookmarkEnd w:id="0"/>
    </w:p>
    <w:p>
      <w:pPr>
        <w:pStyle w:val="12"/>
        <w:spacing w:line="560" w:lineRule="exact"/>
        <w:ind w:firstLine="0" w:firstLineChars="0"/>
        <w:jc w:val="left"/>
        <w:rPr>
          <w:rFonts w:hint="eastAsia" w:ascii="楷体" w:hAnsi="楷体" w:eastAsia="楷体" w:cs="楷体"/>
          <w:color w:val="000000"/>
          <w:spacing w:val="-2"/>
          <w:sz w:val="32"/>
          <w:szCs w:val="32"/>
        </w:rPr>
      </w:pPr>
    </w:p>
    <w:p>
      <w:pPr>
        <w:tabs>
          <w:tab w:val="center" w:pos="4633"/>
        </w:tabs>
        <w:spacing w:line="560" w:lineRule="exact"/>
        <w:jc w:val="center"/>
        <w:rPr>
          <w:rFonts w:ascii="仿宋" w:hAnsi="仿宋" w:eastAsia="仿宋" w:cs="黑体"/>
          <w:b/>
          <w:bCs/>
          <w:sz w:val="32"/>
          <w:szCs w:val="32"/>
        </w:rPr>
      </w:pPr>
      <w:r>
        <w:rPr>
          <w:rFonts w:hint="eastAsia" w:ascii="仿宋" w:hAnsi="仿宋" w:eastAsia="仿宋" w:cs="黑体"/>
          <w:b/>
          <w:bCs/>
          <w:sz w:val="32"/>
          <w:szCs w:val="32"/>
        </w:rPr>
        <w:t>联合激励措施实施办法清单</w:t>
      </w:r>
    </w:p>
    <w:p>
      <w:pPr>
        <w:tabs>
          <w:tab w:val="center" w:pos="4633"/>
        </w:tabs>
        <w:spacing w:line="400" w:lineRule="exact"/>
        <w:jc w:val="center"/>
        <w:rPr>
          <w:rFonts w:ascii="仿宋" w:hAnsi="仿宋" w:eastAsia="仿宋" w:cs="黑体"/>
          <w:b/>
          <w:bCs/>
          <w:sz w:val="32"/>
          <w:szCs w:val="32"/>
        </w:rPr>
      </w:pPr>
    </w:p>
    <w:tbl>
      <w:tblPr>
        <w:tblStyle w:val="7"/>
        <w:tblW w:w="9926" w:type="dxa"/>
        <w:jc w:val="center"/>
        <w:tblLayout w:type="fixed"/>
        <w:tblCellMar>
          <w:top w:w="0" w:type="dxa"/>
          <w:left w:w="108" w:type="dxa"/>
          <w:bottom w:w="0" w:type="dxa"/>
          <w:right w:w="108" w:type="dxa"/>
        </w:tblCellMar>
      </w:tblPr>
      <w:tblGrid>
        <w:gridCol w:w="993"/>
        <w:gridCol w:w="3108"/>
        <w:gridCol w:w="3380"/>
        <w:gridCol w:w="1530"/>
        <w:gridCol w:w="915"/>
      </w:tblGrid>
      <w:tr>
        <w:tblPrEx>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序号</w:t>
            </w:r>
          </w:p>
        </w:tc>
        <w:tc>
          <w:tcPr>
            <w:tcW w:w="31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激励措施</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实施办法</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color w:val="000000"/>
                <w:w w:val="90"/>
                <w:kern w:val="0"/>
                <w:sz w:val="32"/>
                <w:szCs w:val="32"/>
              </w:rPr>
            </w:pPr>
            <w:r>
              <w:rPr>
                <w:rFonts w:hint="eastAsia" w:ascii="仿宋" w:hAnsi="仿宋" w:eastAsia="仿宋" w:cs="黑体"/>
                <w:bCs/>
                <w:color w:val="000000"/>
                <w:kern w:val="0"/>
                <w:sz w:val="32"/>
                <w:szCs w:val="32"/>
              </w:rPr>
              <w:t>责任部门</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备注</w:t>
            </w:r>
          </w:p>
        </w:tc>
      </w:tr>
      <w:tr>
        <w:tblPrEx>
          <w:tblCellMar>
            <w:top w:w="0" w:type="dxa"/>
            <w:left w:w="108" w:type="dxa"/>
            <w:bottom w:w="0" w:type="dxa"/>
            <w:right w:w="108" w:type="dxa"/>
          </w:tblCellMar>
        </w:tblPrEx>
        <w:trPr>
          <w:trHeight w:val="478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w:t>
            </w:r>
          </w:p>
        </w:tc>
        <w:tc>
          <w:tcPr>
            <w:tcW w:w="3108"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被评为劳动保障诚信企业的单位，将由南明区</w:t>
            </w:r>
            <w:r>
              <w:rPr>
                <w:rFonts w:hint="eastAsia" w:ascii="仿宋" w:hAnsi="仿宋" w:eastAsia="仿宋" w:cs="仿宋_GB2312"/>
                <w:sz w:val="32"/>
                <w:szCs w:val="32"/>
              </w:rPr>
              <w:t>根治拖欠农民工工资工作领导小组</w:t>
            </w:r>
            <w:r>
              <w:rPr>
                <w:rFonts w:hint="eastAsia" w:ascii="仿宋" w:hAnsi="仿宋" w:eastAsia="仿宋" w:cs="仿宋_GB2312"/>
                <w:color w:val="000000"/>
                <w:kern w:val="0"/>
                <w:sz w:val="32"/>
                <w:szCs w:val="32"/>
              </w:rPr>
              <w:t>命名为“南明区劳动保障诚信企业”称号，在全区范围通报表扬。</w:t>
            </w:r>
          </w:p>
        </w:tc>
        <w:tc>
          <w:tcPr>
            <w:tcW w:w="3380"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经过培育、验收、公示，被评为当年度劳动保障诚信企业的单位，由区人力资源和社会保障局汇总，报区</w:t>
            </w:r>
            <w:r>
              <w:rPr>
                <w:rFonts w:hint="eastAsia" w:ascii="仿宋" w:hAnsi="仿宋" w:eastAsia="仿宋" w:cs="仿宋_GB2312"/>
                <w:sz w:val="32"/>
                <w:szCs w:val="32"/>
              </w:rPr>
              <w:t>根治拖欠农民工工资工作领导小组审核后</w:t>
            </w:r>
            <w:r>
              <w:rPr>
                <w:rFonts w:hint="eastAsia" w:ascii="仿宋" w:hAnsi="仿宋" w:eastAsia="仿宋" w:cs="仿宋_GB2312"/>
                <w:color w:val="000000"/>
                <w:kern w:val="0"/>
                <w:sz w:val="32"/>
                <w:szCs w:val="32"/>
              </w:rPr>
              <w:t>，在全区范围通报表扬。</w:t>
            </w:r>
          </w:p>
        </w:tc>
        <w:tc>
          <w:tcPr>
            <w:tcW w:w="1530"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区人力资源和社会保障局</w:t>
            </w:r>
          </w:p>
        </w:tc>
        <w:tc>
          <w:tcPr>
            <w:tcW w:w="915"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仿宋" w:hAnsi="仿宋" w:eastAsia="仿宋" w:cs="仿宋_GB2312"/>
                <w:color w:val="000000"/>
                <w:kern w:val="0"/>
                <w:sz w:val="32"/>
                <w:szCs w:val="32"/>
              </w:rPr>
            </w:pPr>
          </w:p>
        </w:tc>
      </w:tr>
      <w:tr>
        <w:tblPrEx>
          <w:tblCellMar>
            <w:top w:w="0" w:type="dxa"/>
            <w:left w:w="108" w:type="dxa"/>
            <w:bottom w:w="0" w:type="dxa"/>
            <w:right w:w="108" w:type="dxa"/>
          </w:tblCellMar>
        </w:tblPrEx>
        <w:trPr>
          <w:trHeight w:val="541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w:t>
            </w:r>
          </w:p>
        </w:tc>
        <w:tc>
          <w:tcPr>
            <w:tcW w:w="310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劳动保障诚信企业在上市或其它用途需要开具劳动用工合规证明在没有举报或投诉情况下免于审查，不列入劳动保障监察日常巡查和主动监察对象，不进行主动社保稽核。</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职能部门在开具合规证明及纳入主动巡查前，通过征求人社部门意见，是劳动保障诚信企业的，按激励政策执行。</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仿宋_GB2312"/>
                <w:color w:val="000000"/>
                <w:kern w:val="0"/>
                <w:szCs w:val="21"/>
              </w:rPr>
            </w:pPr>
            <w:r>
              <w:rPr>
                <w:rFonts w:hint="eastAsia" w:ascii="仿宋" w:hAnsi="仿宋" w:eastAsia="仿宋" w:cs="仿宋_GB2312"/>
                <w:color w:val="000000"/>
                <w:kern w:val="0"/>
                <w:sz w:val="32"/>
                <w:szCs w:val="32"/>
              </w:rPr>
              <w:t>区人力资源和社会保障局</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仿宋_GB2312"/>
                <w:color w:val="000000"/>
                <w:kern w:val="0"/>
                <w:sz w:val="32"/>
                <w:szCs w:val="32"/>
              </w:rPr>
            </w:pPr>
          </w:p>
        </w:tc>
      </w:tr>
      <w:tr>
        <w:tblPrEx>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序号</w:t>
            </w:r>
          </w:p>
        </w:tc>
        <w:tc>
          <w:tcPr>
            <w:tcW w:w="31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激励措施</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实施办法</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责任部门</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备注</w:t>
            </w:r>
          </w:p>
        </w:tc>
      </w:tr>
      <w:tr>
        <w:tblPrEx>
          <w:tblCellMar>
            <w:top w:w="0" w:type="dxa"/>
            <w:left w:w="108" w:type="dxa"/>
            <w:bottom w:w="0" w:type="dxa"/>
            <w:right w:w="108" w:type="dxa"/>
          </w:tblCellMar>
        </w:tblPrEx>
        <w:trPr>
          <w:trHeight w:val="4598"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w:t>
            </w:r>
          </w:p>
        </w:tc>
        <w:tc>
          <w:tcPr>
            <w:tcW w:w="31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对首次发现的生产经营单位轻微违法行为且法律法规明确非必须处罚的，采取主动指导、及时纠错等措施，免于行政处罚。</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职能部门对诚信企业主动运用说服教育、行政指导等柔性执法方式，帮助企业及时纠正轻微违法行为。</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color w:val="000000"/>
                <w:kern w:val="0"/>
                <w:sz w:val="32"/>
                <w:szCs w:val="32"/>
              </w:rPr>
            </w:pPr>
            <w:r>
              <w:rPr>
                <w:rFonts w:hint="eastAsia" w:ascii="仿宋" w:hAnsi="仿宋" w:eastAsia="仿宋" w:cs="仿宋_GB2312"/>
                <w:color w:val="000000"/>
                <w:kern w:val="0"/>
                <w:sz w:val="24"/>
                <w:szCs w:val="24"/>
              </w:rPr>
              <w:t>区</w:t>
            </w:r>
            <w:r>
              <w:rPr>
                <w:rFonts w:hint="eastAsia" w:ascii="仿宋" w:hAnsi="仿宋" w:eastAsia="仿宋" w:cs="仿宋_GB2312"/>
                <w:color w:val="000000"/>
                <w:kern w:val="0"/>
                <w:sz w:val="24"/>
                <w:szCs w:val="24"/>
                <w:lang w:eastAsia="zh-CN"/>
              </w:rPr>
              <w:t>各行政执法部门</w:t>
            </w:r>
            <w:r>
              <w:rPr>
                <w:rFonts w:hint="eastAsia" w:ascii="仿宋" w:hAnsi="仿宋" w:eastAsia="仿宋" w:cs="仿宋_GB2312"/>
                <w:color w:val="000000"/>
                <w:kern w:val="0"/>
                <w:sz w:val="24"/>
                <w:szCs w:val="24"/>
              </w:rPr>
              <w:t>、区应急</w:t>
            </w:r>
            <w:r>
              <w:rPr>
                <w:rFonts w:hint="eastAsia" w:ascii="仿宋" w:hAnsi="仿宋" w:eastAsia="仿宋" w:cs="仿宋_GB2312"/>
                <w:color w:val="000000"/>
                <w:kern w:val="0"/>
                <w:sz w:val="24"/>
                <w:szCs w:val="24"/>
                <w:lang w:eastAsia="zh-CN"/>
              </w:rPr>
              <w:t>管理</w:t>
            </w:r>
            <w:r>
              <w:rPr>
                <w:rFonts w:hint="eastAsia" w:ascii="仿宋" w:hAnsi="仿宋" w:eastAsia="仿宋" w:cs="仿宋_GB2312"/>
                <w:color w:val="000000"/>
                <w:kern w:val="0"/>
                <w:sz w:val="24"/>
                <w:szCs w:val="24"/>
              </w:rPr>
              <w:t>局、区</w:t>
            </w:r>
            <w:r>
              <w:rPr>
                <w:rFonts w:hint="eastAsia" w:ascii="仿宋" w:hAnsi="仿宋" w:eastAsia="仿宋" w:cs="仿宋_GB2312"/>
                <w:color w:val="000000"/>
                <w:kern w:val="0"/>
                <w:sz w:val="24"/>
                <w:szCs w:val="24"/>
                <w:lang w:eastAsia="zh-CN"/>
              </w:rPr>
              <w:t>市</w:t>
            </w:r>
            <w:r>
              <w:rPr>
                <w:rFonts w:hint="eastAsia" w:ascii="仿宋" w:hAnsi="仿宋" w:eastAsia="仿宋" w:cs="仿宋_GB2312"/>
                <w:color w:val="000000"/>
                <w:kern w:val="0"/>
                <w:sz w:val="24"/>
                <w:szCs w:val="24"/>
              </w:rPr>
              <w:t>场</w:t>
            </w:r>
            <w:r>
              <w:rPr>
                <w:rFonts w:hint="eastAsia" w:ascii="仿宋" w:hAnsi="仿宋" w:eastAsia="仿宋" w:cs="仿宋_GB2312"/>
                <w:color w:val="000000"/>
                <w:kern w:val="0"/>
                <w:sz w:val="24"/>
                <w:szCs w:val="24"/>
                <w:lang w:eastAsia="zh-CN"/>
              </w:rPr>
              <w:t>监督管理</w:t>
            </w:r>
            <w:r>
              <w:rPr>
                <w:rFonts w:hint="eastAsia" w:ascii="仿宋" w:hAnsi="仿宋" w:eastAsia="仿宋" w:cs="仿宋_GB2312"/>
                <w:color w:val="000000"/>
                <w:kern w:val="0"/>
                <w:sz w:val="24"/>
                <w:szCs w:val="24"/>
              </w:rPr>
              <w:t>局、区人力资源和社会保障局</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color w:val="000000"/>
                <w:kern w:val="0"/>
                <w:sz w:val="32"/>
                <w:szCs w:val="32"/>
              </w:rPr>
            </w:pPr>
          </w:p>
          <w:p>
            <w:pPr>
              <w:widowControl/>
              <w:jc w:val="center"/>
              <w:rPr>
                <w:rFonts w:ascii="仿宋" w:hAnsi="仿宋" w:eastAsia="仿宋" w:cs="仿宋_GB2312"/>
                <w:color w:val="000000"/>
                <w:kern w:val="0"/>
                <w:sz w:val="32"/>
                <w:szCs w:val="32"/>
              </w:rPr>
            </w:pPr>
          </w:p>
        </w:tc>
      </w:tr>
      <w:tr>
        <w:tblPrEx>
          <w:tblCellMar>
            <w:top w:w="0" w:type="dxa"/>
            <w:left w:w="108" w:type="dxa"/>
            <w:bottom w:w="0" w:type="dxa"/>
            <w:right w:w="108" w:type="dxa"/>
          </w:tblCellMar>
        </w:tblPrEx>
        <w:trPr>
          <w:trHeight w:val="726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4</w:t>
            </w:r>
          </w:p>
        </w:tc>
        <w:tc>
          <w:tcPr>
            <w:tcW w:w="3108" w:type="dxa"/>
            <w:tcBorders>
              <w:top w:val="single" w:color="auto" w:sz="4" w:space="0"/>
              <w:left w:val="nil"/>
              <w:bottom w:val="single" w:color="auto" w:sz="4" w:space="0"/>
              <w:right w:val="single" w:color="auto" w:sz="4" w:space="0"/>
            </w:tcBorders>
            <w:vAlign w:val="center"/>
          </w:tcPr>
          <w:p>
            <w:pPr>
              <w:pStyle w:val="12"/>
              <w:spacing w:line="560" w:lineRule="exact"/>
              <w:ind w:firstLine="0" w:firstLineChars="0"/>
              <w:rPr>
                <w:rFonts w:ascii="仿宋" w:hAnsi="仿宋" w:eastAsia="仿宋" w:cs="仿宋_GB2312"/>
                <w:sz w:val="32"/>
                <w:szCs w:val="32"/>
              </w:rPr>
            </w:pPr>
            <w:r>
              <w:rPr>
                <w:rFonts w:hint="eastAsia" w:ascii="仿宋" w:hAnsi="仿宋" w:eastAsia="仿宋" w:cs="仿宋_GB2312"/>
                <w:sz w:val="32"/>
                <w:szCs w:val="32"/>
              </w:rPr>
              <w:t>在参加南明区文明单位创建评选、道德模范创建评选等评先选优活动中劳动保障诚信企业及负责人、优秀员工优先推荐。</w:t>
            </w:r>
          </w:p>
          <w:p>
            <w:pPr>
              <w:widowControl/>
              <w:jc w:val="center"/>
              <w:rPr>
                <w:rFonts w:ascii="仿宋" w:hAnsi="仿宋" w:eastAsia="仿宋" w:cs="仿宋_GB2312"/>
                <w:color w:val="000000"/>
                <w:kern w:val="0"/>
                <w:sz w:val="32"/>
                <w:szCs w:val="32"/>
              </w:rPr>
            </w:pPr>
          </w:p>
        </w:tc>
        <w:tc>
          <w:tcPr>
            <w:tcW w:w="338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由区人力资源和社会保障局将劳动保障诚信企业名单交区文明办，由区文明办负责推荐。</w:t>
            </w:r>
          </w:p>
        </w:tc>
        <w:tc>
          <w:tcPr>
            <w:tcW w:w="153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区委宣传部</w:t>
            </w:r>
          </w:p>
        </w:tc>
        <w:tc>
          <w:tcPr>
            <w:tcW w:w="91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color w:val="000000"/>
                <w:kern w:val="0"/>
                <w:sz w:val="32"/>
                <w:szCs w:val="32"/>
              </w:rPr>
            </w:pPr>
          </w:p>
        </w:tc>
      </w:tr>
      <w:tr>
        <w:tblPrEx>
          <w:tblCellMar>
            <w:top w:w="0" w:type="dxa"/>
            <w:left w:w="108" w:type="dxa"/>
            <w:bottom w:w="0" w:type="dxa"/>
            <w:right w:w="108" w:type="dxa"/>
          </w:tblCellMar>
        </w:tblPrEx>
        <w:trPr>
          <w:trHeight w:val="87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黑体"/>
                <w:bCs/>
                <w:color w:val="000000"/>
                <w:kern w:val="0"/>
                <w:sz w:val="32"/>
                <w:szCs w:val="32"/>
                <w:lang w:val="en-US" w:eastAsia="zh-CN" w:bidi="ar-SA"/>
              </w:rPr>
            </w:pPr>
            <w:r>
              <w:rPr>
                <w:rFonts w:hint="eastAsia" w:ascii="仿宋" w:hAnsi="仿宋" w:eastAsia="仿宋" w:cs="黑体"/>
                <w:bCs/>
                <w:color w:val="000000"/>
                <w:kern w:val="0"/>
                <w:sz w:val="32"/>
                <w:szCs w:val="32"/>
              </w:rPr>
              <w:t>序号</w:t>
            </w:r>
          </w:p>
        </w:tc>
        <w:tc>
          <w:tcPr>
            <w:tcW w:w="31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黑体"/>
                <w:bCs/>
                <w:color w:val="000000"/>
                <w:kern w:val="0"/>
                <w:sz w:val="32"/>
                <w:szCs w:val="32"/>
                <w:lang w:val="en-US" w:eastAsia="zh-CN" w:bidi="ar-SA"/>
              </w:rPr>
            </w:pPr>
            <w:r>
              <w:rPr>
                <w:rFonts w:hint="eastAsia" w:ascii="仿宋" w:hAnsi="仿宋" w:eastAsia="仿宋" w:cs="黑体"/>
                <w:bCs/>
                <w:color w:val="000000"/>
                <w:kern w:val="0"/>
                <w:sz w:val="32"/>
                <w:szCs w:val="32"/>
              </w:rPr>
              <w:t>激励措施</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黑体"/>
                <w:bCs/>
                <w:color w:val="000000"/>
                <w:kern w:val="0"/>
                <w:sz w:val="32"/>
                <w:szCs w:val="32"/>
                <w:lang w:val="en-US" w:eastAsia="zh-CN" w:bidi="ar-SA"/>
              </w:rPr>
            </w:pPr>
            <w:r>
              <w:rPr>
                <w:rFonts w:hint="eastAsia" w:ascii="仿宋" w:hAnsi="仿宋" w:eastAsia="仿宋" w:cs="黑体"/>
                <w:bCs/>
                <w:color w:val="000000"/>
                <w:kern w:val="0"/>
                <w:sz w:val="32"/>
                <w:szCs w:val="32"/>
              </w:rPr>
              <w:t>实施办法</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黑体"/>
                <w:bCs/>
                <w:color w:val="000000"/>
                <w:kern w:val="0"/>
                <w:sz w:val="32"/>
                <w:szCs w:val="32"/>
                <w:lang w:val="en-US" w:eastAsia="zh-CN" w:bidi="ar-SA"/>
              </w:rPr>
            </w:pPr>
            <w:r>
              <w:rPr>
                <w:rFonts w:hint="eastAsia" w:ascii="仿宋" w:hAnsi="仿宋" w:eastAsia="仿宋" w:cs="黑体"/>
                <w:bCs/>
                <w:color w:val="000000"/>
                <w:kern w:val="0"/>
                <w:sz w:val="32"/>
                <w:szCs w:val="32"/>
              </w:rPr>
              <w:t>责任部门</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color w:val="000000"/>
                <w:kern w:val="0"/>
                <w:sz w:val="32"/>
                <w:szCs w:val="32"/>
                <w:lang w:val="en-US" w:eastAsia="zh-CN" w:bidi="ar-SA"/>
              </w:rPr>
            </w:pPr>
            <w:r>
              <w:rPr>
                <w:rFonts w:hint="eastAsia" w:ascii="仿宋" w:hAnsi="仿宋" w:eastAsia="仿宋" w:cs="黑体"/>
                <w:bCs/>
                <w:color w:val="000000"/>
                <w:kern w:val="0"/>
                <w:sz w:val="32"/>
                <w:szCs w:val="32"/>
              </w:rPr>
              <w:t>备注</w:t>
            </w:r>
          </w:p>
        </w:tc>
      </w:tr>
      <w:tr>
        <w:tblPrEx>
          <w:tblCellMar>
            <w:top w:w="0" w:type="dxa"/>
            <w:left w:w="108" w:type="dxa"/>
            <w:bottom w:w="0" w:type="dxa"/>
            <w:right w:w="108" w:type="dxa"/>
          </w:tblCellMar>
        </w:tblPrEx>
        <w:trPr>
          <w:trHeight w:val="2685"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5</w:t>
            </w:r>
          </w:p>
        </w:tc>
        <w:tc>
          <w:tcPr>
            <w:tcW w:w="31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sz w:val="32"/>
                <w:szCs w:val="32"/>
              </w:rPr>
              <w:t>对劳动保障诚信企业开辟绿色通道，在工商行政许可、安全生产行政审批等工作中优先快速办理。</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由区人力资源和社会保障局将劳动保障诚信企业名单交区直相关部门，由职能部门按激励政策升级服务。</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区应急局</w:t>
            </w:r>
          </w:p>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区市场监管局</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p>
        </w:tc>
      </w:tr>
      <w:tr>
        <w:tblPrEx>
          <w:tblCellMar>
            <w:top w:w="0" w:type="dxa"/>
            <w:left w:w="108" w:type="dxa"/>
            <w:bottom w:w="0" w:type="dxa"/>
            <w:right w:w="108" w:type="dxa"/>
          </w:tblCellMar>
        </w:tblPrEx>
        <w:trPr>
          <w:trHeight w:val="1805"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6</w:t>
            </w:r>
          </w:p>
        </w:tc>
        <w:tc>
          <w:tcPr>
            <w:tcW w:w="31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对劳动保障诚信企业提供技术人才实训服务及实训交流。</w:t>
            </w:r>
          </w:p>
        </w:tc>
        <w:tc>
          <w:tcPr>
            <w:tcW w:w="338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劳动保障诚信企业有需求时，由职能部门按激励政策提供服务。</w:t>
            </w:r>
          </w:p>
        </w:tc>
        <w:tc>
          <w:tcPr>
            <w:tcW w:w="153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区人力资源和社会保障局</w:t>
            </w:r>
          </w:p>
        </w:tc>
        <w:tc>
          <w:tcPr>
            <w:tcW w:w="915"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p>
        </w:tc>
      </w:tr>
      <w:tr>
        <w:tblPrEx>
          <w:tblCellMar>
            <w:top w:w="0" w:type="dxa"/>
            <w:left w:w="108" w:type="dxa"/>
            <w:bottom w:w="0" w:type="dxa"/>
            <w:right w:w="108" w:type="dxa"/>
          </w:tblCellMar>
        </w:tblPrEx>
        <w:trPr>
          <w:trHeight w:val="21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7</w:t>
            </w:r>
          </w:p>
        </w:tc>
        <w:tc>
          <w:tcPr>
            <w:tcW w:w="31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为劳动保障诚信企业引进各类高层次人才搭建桥梁，提供便利服务。</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劳动保障诚信企业有需求时，由职能部门按激励政策提供服务。</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区人力资源和社会保障局</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p>
        </w:tc>
      </w:tr>
      <w:tr>
        <w:tblPrEx>
          <w:tblCellMar>
            <w:top w:w="0" w:type="dxa"/>
            <w:left w:w="108" w:type="dxa"/>
            <w:bottom w:w="0" w:type="dxa"/>
            <w:right w:w="108" w:type="dxa"/>
          </w:tblCellMar>
        </w:tblPrEx>
        <w:trPr>
          <w:trHeight w:val="191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8</w:t>
            </w:r>
          </w:p>
        </w:tc>
        <w:tc>
          <w:tcPr>
            <w:tcW w:w="31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为劳动保障诚信企业员工职称评定、工伤认定建立绿色通道。</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劳动保障诚信企业有需求时，由职能部门按激励政策提供服务。</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区人力资源和社会保障局</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p>
        </w:tc>
      </w:tr>
      <w:tr>
        <w:tblPrEx>
          <w:tblCellMar>
            <w:top w:w="0" w:type="dxa"/>
            <w:left w:w="108" w:type="dxa"/>
            <w:bottom w:w="0" w:type="dxa"/>
            <w:right w:w="108" w:type="dxa"/>
          </w:tblCellMar>
        </w:tblPrEx>
        <w:trPr>
          <w:trHeight w:val="2165"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9</w:t>
            </w:r>
          </w:p>
        </w:tc>
        <w:tc>
          <w:tcPr>
            <w:tcW w:w="31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提供优质的就业服务，优先组织开展校企合作，组织赴劳务基地开展集中招聘。</w:t>
            </w:r>
          </w:p>
        </w:tc>
        <w:tc>
          <w:tcPr>
            <w:tcW w:w="338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劳动保障诚信企业有需求时，由职能部门按激励政策提供服务。</w:t>
            </w:r>
          </w:p>
        </w:tc>
        <w:tc>
          <w:tcPr>
            <w:tcW w:w="153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区人力资源和社会保障局</w:t>
            </w:r>
          </w:p>
        </w:tc>
        <w:tc>
          <w:tcPr>
            <w:tcW w:w="915"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 w:hAnsi="仿宋" w:eastAsia="仿宋" w:cs="仿宋_GB2312"/>
                <w:color w:val="000000"/>
                <w:kern w:val="0"/>
                <w:sz w:val="32"/>
                <w:szCs w:val="32"/>
              </w:rPr>
            </w:pPr>
          </w:p>
        </w:tc>
      </w:tr>
    </w:tbl>
    <w:p>
      <w:pPr>
        <w:spacing w:line="600" w:lineRule="exact"/>
        <w:rPr>
          <w:rFonts w:ascii="仿宋" w:hAnsi="仿宋" w:eastAsia="仿宋"/>
          <w:color w:val="000000"/>
          <w:spacing w:val="-2"/>
          <w:w w:val="90"/>
          <w:sz w:val="32"/>
          <w:szCs w:val="32"/>
        </w:rPr>
      </w:pPr>
    </w:p>
    <w:sectPr>
      <w:footerReference r:id="rId3" w:type="default"/>
      <w:footerReference r:id="rId4" w:type="even"/>
      <w:pgSz w:w="11906" w:h="16838"/>
      <w:pgMar w:top="2098"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840" w:firstLine="280" w:firstLineChars="100"/>
      <w:rPr>
        <w:rFonts w:ascii="宋体" w:hAnsi="宋体"/>
        <w:kern w:val="0"/>
        <w:sz w:val="28"/>
        <w:szCs w:val="28"/>
      </w:rPr>
    </w:pPr>
    <w:r>
      <w:rPr>
        <w:rFonts w:ascii="宋体" w:hAnsi="宋体"/>
        <w:kern w:val="0"/>
        <w:sz w:val="28"/>
        <w:szCs w:val="28"/>
      </w:rPr>
      <w:fldChar w:fldCharType="begin"/>
    </w:r>
    <w:r>
      <w:rPr>
        <w:rFonts w:ascii="宋体" w:hAnsi="宋体"/>
        <w:kern w:val="0"/>
        <w:sz w:val="28"/>
        <w:szCs w:val="28"/>
      </w:rPr>
      <w:instrText xml:space="preserve">PAGE   \* MERGEFORMAT</w:instrText>
    </w:r>
    <w:r>
      <w:rPr>
        <w:rFonts w:ascii="宋体" w:hAnsi="宋体"/>
        <w:kern w:val="0"/>
        <w:sz w:val="28"/>
        <w:szCs w:val="28"/>
      </w:rPr>
      <w:fldChar w:fldCharType="separate"/>
    </w:r>
    <w:r>
      <w:rPr>
        <w:rFonts w:ascii="宋体" w:hAnsi="宋体"/>
        <w:kern w:val="0"/>
        <w:sz w:val="28"/>
        <w:szCs w:val="28"/>
        <w:lang w:val="zh-CN"/>
      </w:rPr>
      <w:t>-</w:t>
    </w:r>
    <w:r>
      <w:rPr>
        <w:rFonts w:ascii="宋体" w:hAnsi="宋体"/>
        <w:kern w:val="0"/>
        <w:sz w:val="28"/>
        <w:szCs w:val="28"/>
      </w:rPr>
      <w:t xml:space="preserve"> 6 -</w:t>
    </w:r>
    <w:r>
      <w:rPr>
        <w:rFonts w:ascii="宋体" w:hAnsi="宋体"/>
        <w:kern w:val="0"/>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D7"/>
    <w:rsid w:val="00020CFF"/>
    <w:rsid w:val="0003678C"/>
    <w:rsid w:val="00051209"/>
    <w:rsid w:val="00053B23"/>
    <w:rsid w:val="0007744F"/>
    <w:rsid w:val="000839C1"/>
    <w:rsid w:val="000A048C"/>
    <w:rsid w:val="000D1491"/>
    <w:rsid w:val="00105321"/>
    <w:rsid w:val="001157FD"/>
    <w:rsid w:val="001371CA"/>
    <w:rsid w:val="00137560"/>
    <w:rsid w:val="001715BD"/>
    <w:rsid w:val="00180EB9"/>
    <w:rsid w:val="00185C5F"/>
    <w:rsid w:val="001A31D0"/>
    <w:rsid w:val="001B307A"/>
    <w:rsid w:val="001B61A7"/>
    <w:rsid w:val="001C47C6"/>
    <w:rsid w:val="00203F08"/>
    <w:rsid w:val="00211537"/>
    <w:rsid w:val="00216034"/>
    <w:rsid w:val="00221F2C"/>
    <w:rsid w:val="00235CA9"/>
    <w:rsid w:val="00284D2E"/>
    <w:rsid w:val="002A751C"/>
    <w:rsid w:val="002B234E"/>
    <w:rsid w:val="002E5E6B"/>
    <w:rsid w:val="002F2649"/>
    <w:rsid w:val="002F5937"/>
    <w:rsid w:val="0030542F"/>
    <w:rsid w:val="00335AA4"/>
    <w:rsid w:val="003371E2"/>
    <w:rsid w:val="003741C0"/>
    <w:rsid w:val="00397FA2"/>
    <w:rsid w:val="003A0335"/>
    <w:rsid w:val="003A12C0"/>
    <w:rsid w:val="003D182F"/>
    <w:rsid w:val="00412FDF"/>
    <w:rsid w:val="00434B23"/>
    <w:rsid w:val="00436D3C"/>
    <w:rsid w:val="004522B4"/>
    <w:rsid w:val="00463F7E"/>
    <w:rsid w:val="004958BC"/>
    <w:rsid w:val="004C4044"/>
    <w:rsid w:val="00536CA5"/>
    <w:rsid w:val="00540994"/>
    <w:rsid w:val="00596051"/>
    <w:rsid w:val="005A5A33"/>
    <w:rsid w:val="005D29D6"/>
    <w:rsid w:val="005D3540"/>
    <w:rsid w:val="005D3DA2"/>
    <w:rsid w:val="005F4D1C"/>
    <w:rsid w:val="005F6E60"/>
    <w:rsid w:val="00613FB3"/>
    <w:rsid w:val="006231E5"/>
    <w:rsid w:val="0063227D"/>
    <w:rsid w:val="00640E33"/>
    <w:rsid w:val="006777B2"/>
    <w:rsid w:val="00693300"/>
    <w:rsid w:val="006A7153"/>
    <w:rsid w:val="006D16BB"/>
    <w:rsid w:val="00705A3A"/>
    <w:rsid w:val="00717ADB"/>
    <w:rsid w:val="00717C47"/>
    <w:rsid w:val="00753315"/>
    <w:rsid w:val="007A061D"/>
    <w:rsid w:val="008215B1"/>
    <w:rsid w:val="00841104"/>
    <w:rsid w:val="008658C7"/>
    <w:rsid w:val="00877100"/>
    <w:rsid w:val="008D0C8D"/>
    <w:rsid w:val="009043C4"/>
    <w:rsid w:val="0091446B"/>
    <w:rsid w:val="009366C9"/>
    <w:rsid w:val="009404DC"/>
    <w:rsid w:val="00941E7E"/>
    <w:rsid w:val="00973921"/>
    <w:rsid w:val="009A2FFF"/>
    <w:rsid w:val="009C3EAB"/>
    <w:rsid w:val="009C5429"/>
    <w:rsid w:val="009D5D88"/>
    <w:rsid w:val="00A534B4"/>
    <w:rsid w:val="00AC219E"/>
    <w:rsid w:val="00AF0173"/>
    <w:rsid w:val="00B21A6D"/>
    <w:rsid w:val="00B57152"/>
    <w:rsid w:val="00BC44AE"/>
    <w:rsid w:val="00BE31C5"/>
    <w:rsid w:val="00BF1694"/>
    <w:rsid w:val="00BF6D37"/>
    <w:rsid w:val="00C118FC"/>
    <w:rsid w:val="00C34037"/>
    <w:rsid w:val="00C36A37"/>
    <w:rsid w:val="00C46F8A"/>
    <w:rsid w:val="00C82163"/>
    <w:rsid w:val="00C841E3"/>
    <w:rsid w:val="00C8433D"/>
    <w:rsid w:val="00C8715A"/>
    <w:rsid w:val="00C9445F"/>
    <w:rsid w:val="00CC496D"/>
    <w:rsid w:val="00CE7E12"/>
    <w:rsid w:val="00CF797F"/>
    <w:rsid w:val="00D13CCF"/>
    <w:rsid w:val="00D8369C"/>
    <w:rsid w:val="00D86E0C"/>
    <w:rsid w:val="00DB776B"/>
    <w:rsid w:val="00DB7D8B"/>
    <w:rsid w:val="00DD5D48"/>
    <w:rsid w:val="00DE55A0"/>
    <w:rsid w:val="00DF14D4"/>
    <w:rsid w:val="00DF7FF8"/>
    <w:rsid w:val="00E21C63"/>
    <w:rsid w:val="00E338F9"/>
    <w:rsid w:val="00E47BD7"/>
    <w:rsid w:val="00E6401B"/>
    <w:rsid w:val="00E751D8"/>
    <w:rsid w:val="00E775CB"/>
    <w:rsid w:val="00EB4321"/>
    <w:rsid w:val="00ED2E2E"/>
    <w:rsid w:val="00F03B5A"/>
    <w:rsid w:val="00FE5F5C"/>
    <w:rsid w:val="00FF56E7"/>
    <w:rsid w:val="018D2BA5"/>
    <w:rsid w:val="022E6A74"/>
    <w:rsid w:val="03AF31B2"/>
    <w:rsid w:val="03C00F10"/>
    <w:rsid w:val="05B87F7C"/>
    <w:rsid w:val="05F207DE"/>
    <w:rsid w:val="07C90062"/>
    <w:rsid w:val="0B6C1A63"/>
    <w:rsid w:val="0B736385"/>
    <w:rsid w:val="0B7512EA"/>
    <w:rsid w:val="0BE93B1D"/>
    <w:rsid w:val="0C150B72"/>
    <w:rsid w:val="0C424CE7"/>
    <w:rsid w:val="0EC02FD0"/>
    <w:rsid w:val="0FA36841"/>
    <w:rsid w:val="104235A2"/>
    <w:rsid w:val="11471492"/>
    <w:rsid w:val="1266641F"/>
    <w:rsid w:val="166310A5"/>
    <w:rsid w:val="170467AB"/>
    <w:rsid w:val="18533A7B"/>
    <w:rsid w:val="19AC795D"/>
    <w:rsid w:val="1C400800"/>
    <w:rsid w:val="1C5C0E66"/>
    <w:rsid w:val="1CD02A16"/>
    <w:rsid w:val="1D0939A1"/>
    <w:rsid w:val="1E381298"/>
    <w:rsid w:val="1EFB5238"/>
    <w:rsid w:val="20215C36"/>
    <w:rsid w:val="209C52C2"/>
    <w:rsid w:val="216F6243"/>
    <w:rsid w:val="21FD7CA7"/>
    <w:rsid w:val="233171A1"/>
    <w:rsid w:val="236970E5"/>
    <w:rsid w:val="274B32F5"/>
    <w:rsid w:val="27F011AB"/>
    <w:rsid w:val="2AC550EE"/>
    <w:rsid w:val="2B121BEC"/>
    <w:rsid w:val="2BAC3E99"/>
    <w:rsid w:val="2D0010BF"/>
    <w:rsid w:val="2D1F6037"/>
    <w:rsid w:val="30C17161"/>
    <w:rsid w:val="30EA323C"/>
    <w:rsid w:val="31037FB8"/>
    <w:rsid w:val="312B4654"/>
    <w:rsid w:val="313C4994"/>
    <w:rsid w:val="32415FD6"/>
    <w:rsid w:val="334E5231"/>
    <w:rsid w:val="33910604"/>
    <w:rsid w:val="33AF0119"/>
    <w:rsid w:val="343A7194"/>
    <w:rsid w:val="34C6357A"/>
    <w:rsid w:val="34D06541"/>
    <w:rsid w:val="35344FDD"/>
    <w:rsid w:val="36401A49"/>
    <w:rsid w:val="36510D25"/>
    <w:rsid w:val="36583915"/>
    <w:rsid w:val="36B03782"/>
    <w:rsid w:val="39812966"/>
    <w:rsid w:val="39A24B76"/>
    <w:rsid w:val="3CD81321"/>
    <w:rsid w:val="3D615AAC"/>
    <w:rsid w:val="3DC91FF7"/>
    <w:rsid w:val="3FDC76DB"/>
    <w:rsid w:val="410F2C13"/>
    <w:rsid w:val="415B0F26"/>
    <w:rsid w:val="44497D5F"/>
    <w:rsid w:val="4457128D"/>
    <w:rsid w:val="454736C6"/>
    <w:rsid w:val="46454CC5"/>
    <w:rsid w:val="46FC3064"/>
    <w:rsid w:val="478D58F5"/>
    <w:rsid w:val="487C3DF8"/>
    <w:rsid w:val="488E78E2"/>
    <w:rsid w:val="49131921"/>
    <w:rsid w:val="498C74E4"/>
    <w:rsid w:val="4B563329"/>
    <w:rsid w:val="4CA5047B"/>
    <w:rsid w:val="4E640C36"/>
    <w:rsid w:val="50020AB3"/>
    <w:rsid w:val="501A4404"/>
    <w:rsid w:val="52E211A2"/>
    <w:rsid w:val="53880644"/>
    <w:rsid w:val="58484497"/>
    <w:rsid w:val="5A135633"/>
    <w:rsid w:val="5A366491"/>
    <w:rsid w:val="5A7A6005"/>
    <w:rsid w:val="5B586BC1"/>
    <w:rsid w:val="5B5F7E10"/>
    <w:rsid w:val="5C815BD6"/>
    <w:rsid w:val="5CB83C49"/>
    <w:rsid w:val="5DAA15DF"/>
    <w:rsid w:val="5DFF1150"/>
    <w:rsid w:val="5FC038DB"/>
    <w:rsid w:val="5FE47D06"/>
    <w:rsid w:val="61E13002"/>
    <w:rsid w:val="63235EBF"/>
    <w:rsid w:val="6512636E"/>
    <w:rsid w:val="676A4914"/>
    <w:rsid w:val="67A65AB9"/>
    <w:rsid w:val="68F177B3"/>
    <w:rsid w:val="69233525"/>
    <w:rsid w:val="69826100"/>
    <w:rsid w:val="6A9C0CCD"/>
    <w:rsid w:val="6BB44421"/>
    <w:rsid w:val="6DD479A1"/>
    <w:rsid w:val="6F5C059C"/>
    <w:rsid w:val="6F8E08D1"/>
    <w:rsid w:val="71E56AEC"/>
    <w:rsid w:val="729A3211"/>
    <w:rsid w:val="73A94F1C"/>
    <w:rsid w:val="749301B5"/>
    <w:rsid w:val="77E865B9"/>
    <w:rsid w:val="782E7C90"/>
    <w:rsid w:val="78461EDD"/>
    <w:rsid w:val="78BC2601"/>
    <w:rsid w:val="7A3F1BBD"/>
    <w:rsid w:val="7CDC3B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9">
    <w:name w:val="页眉 Char"/>
    <w:link w:val="5"/>
    <w:qFormat/>
    <w:uiPriority w:val="99"/>
    <w:rPr>
      <w:kern w:val="2"/>
      <w:sz w:val="18"/>
      <w:szCs w:val="18"/>
    </w:rPr>
  </w:style>
  <w:style w:type="character" w:customStyle="1" w:styleId="10">
    <w:name w:val="页脚 Char"/>
    <w:link w:val="4"/>
    <w:qFormat/>
    <w:uiPriority w:val="99"/>
    <w:rPr>
      <w:kern w:val="2"/>
      <w:sz w:val="18"/>
      <w:szCs w:val="18"/>
    </w:rPr>
  </w:style>
  <w:style w:type="paragraph" w:customStyle="1" w:styleId="1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
    <w:name w:val="列出段落1"/>
    <w:basedOn w:val="1"/>
    <w:qFormat/>
    <w:uiPriority w:val="99"/>
    <w:pPr>
      <w:ind w:firstLine="420" w:firstLineChars="200"/>
    </w:pPr>
    <w:rPr>
      <w:rFonts w:ascii="等线" w:hAnsi="等线" w:eastAsia="等线"/>
      <w:szCs w:val="22"/>
    </w:rPr>
  </w:style>
  <w:style w:type="character" w:customStyle="1" w:styleId="13">
    <w:name w:val="批注框文本 Char"/>
    <w:basedOn w:val="8"/>
    <w:link w:val="3"/>
    <w:qFormat/>
    <w:uiPriority w:val="0"/>
    <w:rPr>
      <w:kern w:val="2"/>
      <w:sz w:val="18"/>
      <w:szCs w:val="18"/>
    </w:rPr>
  </w:style>
  <w:style w:type="character" w:customStyle="1" w:styleId="14">
    <w:name w:val="日期 Char"/>
    <w:basedOn w:val="8"/>
    <w:link w:val="2"/>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B4CD5-96C9-4146-8A7C-8DD806113FB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302</Words>
  <Characters>1722</Characters>
  <Lines>14</Lines>
  <Paragraphs>4</Paragraphs>
  <TotalTime>17</TotalTime>
  <ScaleCrop>false</ScaleCrop>
  <LinksUpToDate>false</LinksUpToDate>
  <CharactersWithSpaces>2020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2021-04-24T11:51:00Z</dcterms:created>
  <dc:creator>lenovo</dc:creator>
  <cp:lastModifiedBy>f</cp:lastModifiedBy>
  <cp:lastPrinted>2021-04-25T01:35:00Z</cp:lastPrinted>
  <dcterms:modified xsi:type="dcterms:W3CDTF">2021-05-21T02:23:42Z</dcterms:modified>
  <dc:title>关于调整无锡市创建劳动保障诚信单位工作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277925211_cloud</vt:lpwstr>
  </property>
  <property fmtid="{D5CDD505-2E9C-101B-9397-08002B2CF9AE}" pid="4" name="ICV">
    <vt:lpwstr>609BC503F122490591A09E2EE34EC5D9</vt:lpwstr>
  </property>
</Properties>
</file>