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pacing w:line="480" w:lineRule="exact"/>
        <w:jc w:val="center"/>
        <w:rPr>
          <w:rFonts w:hint="eastAsia" w:ascii="方正小标宋_GBK" w:hAnsi="方正小标宋_GBK" w:eastAsia="方正小标宋_GBK" w:cs="方正小标宋_GBK"/>
          <w:bCs/>
          <w:sz w:val="44"/>
          <w:szCs w:val="44"/>
        </w:rPr>
      </w:pPr>
    </w:p>
    <w:p>
      <w:pPr>
        <w:keepNext w:val="0"/>
        <w:keepLines w:val="0"/>
        <w:pageBreakBefore w:val="0"/>
        <w:widowControl w:val="0"/>
        <w:tabs>
          <w:tab w:val="left" w:pos="885"/>
        </w:tabs>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青云路公共停车场建设项目</w:t>
      </w:r>
      <w:r>
        <w:rPr>
          <w:rFonts w:hint="eastAsia" w:ascii="方正小标宋_GBK" w:hAnsi="方正小标宋_GBK" w:eastAsia="方正小标宋_GBK" w:cs="方正小标宋_GBK"/>
          <w:sz w:val="44"/>
          <w:szCs w:val="44"/>
        </w:rPr>
        <w:t>国有土地上</w:t>
      </w:r>
    </w:p>
    <w:p>
      <w:pPr>
        <w:keepNext w:val="0"/>
        <w:keepLines w:val="0"/>
        <w:pageBreakBefore w:val="0"/>
        <w:widowControl w:val="0"/>
        <w:tabs>
          <w:tab w:val="left" w:pos="885"/>
        </w:tabs>
        <w:kinsoku/>
        <w:wordWrap/>
        <w:overflowPunct/>
        <w:topLinePunct w:val="0"/>
        <w:autoSpaceDE/>
        <w:autoSpaceDN/>
        <w:bidi w:val="0"/>
        <w:spacing w:line="6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房屋征收补偿方案</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为加快贵阳市城市建设，经贵阳市相关部门批准，实施青云路公共停车场建设</w:t>
      </w:r>
      <w:bookmarkStart w:id="3" w:name="_GoBack"/>
      <w:bookmarkEnd w:id="3"/>
      <w:r>
        <w:rPr>
          <w:rFonts w:hint="eastAsia" w:ascii="仿宋_GB2312" w:hAnsi="仿宋_GB2312" w:eastAsia="仿宋_GB2312" w:cs="仿宋_GB2312"/>
          <w:sz w:val="32"/>
          <w:szCs w:val="32"/>
        </w:rPr>
        <w:t>项目，由贵阳市南明区人民政府对项目规划红线范围内的房屋实施征收。根据国务院《国有土地上房屋征收与补偿条例》（国务院第590号令）等相关法律法规的规定，结合被征收范围的实际情况，制定以下征收补偿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一、被征收房屋合法建筑面积、性质和用途的确定及所有权不明房屋的处理</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被征收房屋建筑面积、性质和用途等以房屋权属证书为准，被征收人对房屋权属证书证载建筑面积有异议的，可依法到产权登记部门申请确定。对于产权为按份共有、共同共有的被征收房屋，按照一物一权的原则以整体进行统一安置补偿。</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（二）被征收房屋因历史遗留问题未进行合法性认定的，由区政府或南明区未经登记建筑合法性认定工作领导小组组织规划、国土等有关部门依法进行调查、认定，以认定结果进行补偿安置。</w:t>
      </w:r>
    </w:p>
    <w:p>
      <w:pPr>
        <w:keepNext w:val="0"/>
        <w:keepLines w:val="0"/>
        <w:pageBreakBefore w:val="0"/>
        <w:widowControl w:val="0"/>
        <w:kinsoku/>
        <w:wordWrap/>
        <w:overflowPunct/>
        <w:topLinePunct w:val="0"/>
        <w:autoSpaceDE/>
        <w:autoSpaceDN/>
        <w:bidi w:val="0"/>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（三）被征收房屋所有权人不明确的，由房屋征收部门根据本方案拟定被征收房屋的征收补偿方案报南明区人民政府批准后经在征收范围内进行公示并证据保全进行拆除。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二、被征收房屋价值的确定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Hlk535143623"/>
      <w:r>
        <w:rPr>
          <w:rFonts w:hint="eastAsia" w:ascii="仿宋_GB2312" w:hAnsi="仿宋_GB2312" w:eastAsia="仿宋_GB2312" w:cs="仿宋_GB2312"/>
          <w:sz w:val="32"/>
          <w:szCs w:val="32"/>
        </w:rPr>
        <w:t>经在</w:t>
      </w:r>
      <w:r>
        <w:rPr>
          <w:rFonts w:hint="eastAsia" w:ascii="仿宋_GB2312" w:hAnsi="仿宋_GB2312" w:eastAsia="仿宋_GB2312" w:cs="仿宋_GB2312"/>
          <w:bCs/>
          <w:sz w:val="32"/>
          <w:szCs w:val="32"/>
        </w:rPr>
        <w:t>项目</w:t>
      </w:r>
      <w:r>
        <w:rPr>
          <w:rFonts w:hint="eastAsia" w:ascii="仿宋_GB2312" w:hAnsi="仿宋_GB2312" w:eastAsia="仿宋_GB2312" w:cs="仿宋_GB2312"/>
          <w:sz w:val="32"/>
          <w:szCs w:val="32"/>
        </w:rPr>
        <w:t>征收范围内发放选择评估机构民意调查表，由被征收人通过多数（半数以上）意见选定的房地产价格评估机构对被征收房屋进行评估，评估结果见各分户评估报告。</w:t>
      </w:r>
      <w:bookmarkEnd w:id="0"/>
    </w:p>
    <w:p>
      <w:pPr>
        <w:keepNext w:val="0"/>
        <w:keepLines w:val="0"/>
        <w:pageBreakBefore w:val="0"/>
        <w:widowControl w:val="0"/>
        <w:kinsoku/>
        <w:wordWrap/>
        <w:overflowPunct/>
        <w:topLinePunct w:val="0"/>
        <w:autoSpaceDE/>
        <w:autoSpaceDN/>
        <w:bidi w:val="0"/>
        <w:adjustRightInd w:val="0"/>
        <w:spacing w:line="600" w:lineRule="exact"/>
        <w:ind w:firstLine="640" w:firstLineChars="200"/>
        <w:contextualSpacing/>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1" w:name="_Hlk535143641"/>
      <w:r>
        <w:rPr>
          <w:rFonts w:hint="eastAsia" w:ascii="仿宋_GB2312" w:hAnsi="仿宋_GB2312" w:eastAsia="仿宋_GB2312" w:cs="仿宋_GB2312"/>
          <w:sz w:val="32"/>
          <w:szCs w:val="32"/>
        </w:rPr>
        <w:t>被征收人对被征收房屋评估结果有异议的，应当自收到分户评估报告后，按照分户评估报告载明的途径申请复核评估、鉴定。</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三、划拨土地性质房屋的征收补偿方式</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FangSong_GB2312" w:eastAsia="仿宋_GB2312" w:cs="FangSong_GB2312"/>
          <w:sz w:val="32"/>
          <w:szCs w:val="32"/>
        </w:rPr>
      </w:pPr>
      <w:r>
        <w:rPr>
          <w:rFonts w:hint="eastAsia" w:ascii="仿宋_GB2312" w:hAnsi="FangSong_GB2312" w:eastAsia="仿宋_GB2312" w:cs="FangSong_GB2312"/>
          <w:sz w:val="32"/>
          <w:szCs w:val="32"/>
        </w:rPr>
        <w:t>土地性质为划拨或未办理土地使用证的其他合法房屋，可到国土部门补交土地出让金。已补交土地出让金的，按照完全产权的私有住房进行安置补偿；未补交土地出让金的，按照评估机构出具的评估报告进行安置补偿。</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bCs/>
          <w:kern w:val="0"/>
          <w:sz w:val="32"/>
          <w:szCs w:val="32"/>
          <w:shd w:val="clear" w:color="auto" w:fill="FFFFFF"/>
        </w:rPr>
      </w:pPr>
      <w:r>
        <w:rPr>
          <w:rFonts w:hint="eastAsia" w:ascii="黑体" w:hAnsi="黑体" w:eastAsia="黑体" w:cs="黑体"/>
          <w:b w:val="0"/>
          <w:bCs/>
          <w:sz w:val="32"/>
          <w:szCs w:val="32"/>
        </w:rPr>
        <w:t>四、非住宅房屋的补偿</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kern w:val="0"/>
          <w:sz w:val="32"/>
          <w:szCs w:val="32"/>
          <w:shd w:val="clear" w:color="auto" w:fill="FFFFFF"/>
        </w:rPr>
        <w:t>本条所指非住宅房屋是房屋权属证书登记（或通过合法性认定）的用途为商业（或营业）、办公或其他的非住宅性质的房屋。由征收部门根据评估机构出具的评估报告对被征收人给予一次性货币补偿。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五、符合安置条件的，其搬迁费、临时安置费按下列标准计发</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（一）搬迁费</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被征收房屋合法建筑面积计算，住宅按照每次每平方米10元计发，非住宅按照每次每平方米20元计发。选择货币补偿的计发一次搬迁费；选择产权调换的计发两次搬迁费。如被征收住宅合法建筑面积不足45平方米，按45平方米计发。</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（二）货币补偿的临时安置费</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sz w:val="32"/>
          <w:szCs w:val="32"/>
        </w:rPr>
        <w:t>按被征收房屋合法建筑面积计发三个月，住宅每月每平方米10元，非住宅每月每平方米20元。如被征收住宅合法建筑面积不足45平方米，按45平方米标准计发。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ab/>
      </w:r>
      <w:r>
        <w:rPr>
          <w:rFonts w:hint="eastAsia" w:ascii="黑体" w:hAnsi="黑体" w:eastAsia="黑体" w:cs="黑体"/>
          <w:b w:val="0"/>
          <w:bCs/>
          <w:sz w:val="32"/>
          <w:szCs w:val="32"/>
        </w:rPr>
        <w:t>六、附属设施、装修及室内设施补偿：</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（一）附属设施</w:t>
      </w:r>
    </w:p>
    <w:p>
      <w:pPr>
        <w:keepNext w:val="0"/>
        <w:keepLines w:val="0"/>
        <w:pageBreakBefore w:val="0"/>
        <w:widowControl w:val="0"/>
        <w:kinsoku/>
        <w:wordWrap/>
        <w:overflowPunct/>
        <w:topLinePunct w:val="0"/>
        <w:autoSpaceDE/>
        <w:autoSpaceDN/>
        <w:bidi w:val="0"/>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1、水泥院坝：15-30元/㎡</w:t>
      </w:r>
    </w:p>
    <w:p>
      <w:pPr>
        <w:keepNext w:val="0"/>
        <w:keepLines w:val="0"/>
        <w:pageBreakBefore w:val="0"/>
        <w:widowControl w:val="0"/>
        <w:kinsoku/>
        <w:wordWrap/>
        <w:overflowPunct/>
        <w:topLinePunct w:val="0"/>
        <w:autoSpaceDE/>
        <w:autoSpaceDN/>
        <w:bidi w:val="0"/>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2、水泥空心砖围墙：120元/㎡、红砖围墙150-180元/㎡、石砌围墙120-170元/㎡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3、石砌堡坎、水沟、挡土墙：100-170元/m³</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4、畜圈、厕所：砖混：100-160元/㎡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砖木：80-130元/㎡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其它：50-100元/㎡           </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5、粪池：80-150元/m³</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6、门楼：500元/个</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7、红砖、石砌、水泥粉面水沟：170元/m³</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8、隔热层：30元/㎡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9、女儿墙：45元/㎡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10、水池、花池：100元/m³</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11、灶台：80元/㎡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12、简易棚：100-150元/㎡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13、板房、钢架棚：300元/㎡</w:t>
      </w:r>
    </w:p>
    <w:p>
      <w:pPr>
        <w:keepNext w:val="0"/>
        <w:keepLines w:val="0"/>
        <w:pageBreakBefore w:val="0"/>
        <w:widowControl w:val="0"/>
        <w:kinsoku/>
        <w:wordWrap/>
        <w:overflowPunct/>
        <w:topLinePunct w:val="0"/>
        <w:autoSpaceDE/>
        <w:autoSpaceDN/>
        <w:bidi w:val="0"/>
        <w:snapToGrid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14、外楼梯（投影面积）200元/㎡</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（二）装修及室内设施</w:t>
      </w:r>
    </w:p>
    <w:tbl>
      <w:tblPr>
        <w:tblStyle w:val="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05"/>
        <w:gridCol w:w="155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名称</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p>
        </w:tc>
        <w:tc>
          <w:tcPr>
            <w:tcW w:w="1990" w:type="dxa"/>
            <w:vAlign w:val="center"/>
          </w:tcPr>
          <w:p>
            <w:pPr>
              <w:widowControl/>
              <w:spacing w:line="480" w:lineRule="exact"/>
              <w:jc w:val="center"/>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themeColor="text1"/>
                <w:kern w:val="0"/>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电话（不计分机）</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煤气（智能表）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煤气（普通表）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数字、有线电视</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独立水表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分水表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块</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独立电表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分电表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块</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动力电（迁移）</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动力电（注销）</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电脑宽带迁移</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电热迁移</w:t>
            </w:r>
          </w:p>
        </w:tc>
        <w:tc>
          <w:tcPr>
            <w:tcW w:w="1559" w:type="dxa"/>
            <w:vAlign w:val="center"/>
          </w:tcPr>
          <w:p>
            <w:pPr>
              <w:widowControl/>
              <w:spacing w:line="480" w:lineRule="exact"/>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户</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热水器迁移</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空调迁移（柜机）</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空调迁移(挂机)</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太阳能热水器迁移费</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瓷粉+乳胶漆</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墙纸</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保丽板、塑料扣板、普通木质地板、墙、顶</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瓷砖</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木质吊顶</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木墙裙</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铝扣板顶、墙</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石膏线条</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木质线条</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花岗石地板</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大理石地板</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竹、实木地板</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29</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强化复合地板</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优质铝合金门窗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普通铝合金门窗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塑钢窗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铁门、钢管防盗门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优质全封闭防盗门(含附件)</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普通全封闭防盗门(含附件)</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实木门（套）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钢条防护栏</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39</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普通地板砖、水磨石</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电视幕墙</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卷帘门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普通机压门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整体浴室</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套</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窗套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樘</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窗帘盒</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钢质扶手</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不锈钢扶手</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48</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铁艺扶手</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49</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钢筋、不锈钢护栏</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整体橱柜（普通）</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整体橱柜（高级）</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吊柜</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固定衣柜、储物柜（普通）</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固定衣柜、储物柜（高级）</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蹲式便器</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坐便器（带水箱）</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浴缸</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套</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58</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台式面盆</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套</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59</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洗手盆、陶瓷拖把缸、洗涤缸</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60</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遮阳雨棚</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61</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琉璃瓦</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外墙砖</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无油烟灶台</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64</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纱窗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65</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暗线及开关、插座</w:t>
            </w:r>
          </w:p>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（按原房建筑面积计算）</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66</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地热（暖）</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67</w:t>
            </w:r>
          </w:p>
        </w:tc>
        <w:tc>
          <w:tcPr>
            <w:tcW w:w="4805"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装饰玻璃</w:t>
            </w:r>
          </w:p>
        </w:tc>
        <w:tc>
          <w:tcPr>
            <w:tcW w:w="1559"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平方米</w:t>
            </w:r>
          </w:p>
        </w:tc>
        <w:tc>
          <w:tcPr>
            <w:tcW w:w="1990" w:type="dxa"/>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400</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以上各种装修及附属设施数据由征收实施单位、被征收人、属地</w:t>
      </w:r>
      <w:r>
        <w:rPr>
          <w:rFonts w:hint="eastAsia" w:ascii="仿宋_GB2312" w:hAnsi="仿宋_GB2312" w:eastAsia="仿宋_GB2312" w:cs="仿宋_GB2312"/>
          <w:color w:val="000000" w:themeColor="text1"/>
          <w:sz w:val="32"/>
          <w:szCs w:val="32"/>
        </w:rPr>
        <w:t>办事处共同核定后按上述标准给予补偿。对装修及附属设施补偿单价、装修及附属设施项目缺项等问题有异议的，可由征收当事双方共同委托具有资质的评估单位对其评估后确定补偿价值。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本条款补偿费由征收部门一次性发放给被征收人，涉及水、电、煤气等设施使用费用，由被征收人在领取补偿款前自行缴清，设施迁移及费用由被征收人自理。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七、停产停业损失的补偿：</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（一）参照黔府办发〔2011〕116号文中《贵州省国有土地上房屋征收停产停业损失补偿指导意见》的规定，被征收房屋符合以下条件的，应当给予停产停业损失补偿：</w:t>
      </w:r>
    </w:p>
    <w:p>
      <w:pPr>
        <w:keepNext w:val="0"/>
        <w:keepLines w:val="0"/>
        <w:pageBreakBefore w:val="0"/>
        <w:widowControl w:val="0"/>
        <w:kinsoku/>
        <w:wordWrap/>
        <w:overflowPunct/>
        <w:topLinePunct w:val="0"/>
        <w:autoSpaceDE/>
        <w:autoSpaceDN/>
        <w:bidi w:val="0"/>
        <w:adjustRightInd/>
        <w:snapToGrid w:val="0"/>
        <w:spacing w:line="600" w:lineRule="exact"/>
        <w:ind w:firstLine="320" w:firstLineChars="1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被征收人提供合法有效的经营手续，或属地办事处或工商行政管理部门出具的事实经营证明的;</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房屋征收公告发布前持续经营的;</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因征收房屋造成停产停业损失的。</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（二）房屋造成的停产停业损失，按照以下分类和标准进行补偿：</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被征收人能够提供税务部门出具在被征收房屋内经营产生的上一年度月均应纳税所得额证明的，按照上一年度月均应纳税所得额计发六个月的经营性损失补偿。</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被征收人不能提供税务部门出具在被征收房屋内经营产生的上一年度月均应纳税所得额证明的，可由评估机构评估经营性损失补偿。</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被征收人能够提供向社会保险经办机构缴纳社会保险费凭证的，按照上一年度本单位职工月均工资总额（或上一年度职工月均社保缴费基数）计算每月的职工失业补助，计发六个月。</w:t>
      </w:r>
    </w:p>
    <w:p>
      <w:pPr>
        <w:keepNext w:val="0"/>
        <w:keepLines w:val="0"/>
        <w:pageBreakBefore w:val="0"/>
        <w:widowControl w:val="0"/>
        <w:kinsoku/>
        <w:wordWrap/>
        <w:overflowPunct/>
        <w:topLinePunct w:val="0"/>
        <w:autoSpaceDE/>
        <w:autoSpaceDN/>
        <w:bidi w:val="0"/>
        <w:adjustRightInd/>
        <w:snapToGrid w:val="0"/>
        <w:spacing w:line="600" w:lineRule="exact"/>
        <w:ind w:firstLine="633" w:firstLineChars="198"/>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被征收人不能够提供向社会保险经办机构缴纳社会保险费凭证，但又存在事实用工（含经营者本人）行为的，由属地办事处据实核定用工人员，按照贵阳市现行最低工资标准计算劳动用工失业补助，计发六个月。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八、房屋权属证书登记用途或经合法性认定为合法住宅，但已改变为非住宅房屋，被征收人能提供合法有效的经营手续，或提供属地</w:t>
      </w:r>
      <w:bookmarkStart w:id="2" w:name="_Hlk535145473"/>
      <w:r>
        <w:rPr>
          <w:rFonts w:hint="eastAsia" w:ascii="黑体" w:hAnsi="黑体" w:eastAsia="黑体" w:cs="黑体"/>
          <w:b w:val="0"/>
          <w:bCs/>
          <w:sz w:val="32"/>
          <w:szCs w:val="32"/>
        </w:rPr>
        <w:t>办事处</w:t>
      </w:r>
      <w:bookmarkEnd w:id="2"/>
      <w:r>
        <w:rPr>
          <w:rFonts w:hint="eastAsia" w:ascii="黑体" w:hAnsi="黑体" w:eastAsia="黑体" w:cs="黑体"/>
          <w:b w:val="0"/>
          <w:bCs/>
          <w:sz w:val="32"/>
          <w:szCs w:val="32"/>
        </w:rPr>
        <w:t>或工商行政管理部出具的事实经营（改变用途）证明的，参照黔府办发〔2011〕116号文中《贵州省国有土地上房屋征收停产停业损失补偿指导意见》的相关规定适当提高实际用于非住宅的房屋价值的补偿。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本项目征收签约期限为2020年12月23日至2021年1月22日。在本项目征收公告确定的签约期限内未签约又未搬迁交房的，由房屋征收部门报请贵阳市南明区人民政府依照国务院《国有土地上房屋征收与补偿条例》的相关规定，按照本项目征收补偿方案的相关规定作出补偿决定，并在房屋征收范围内予以公告。被征收人在法定期限内不申请行政复议或者不提起行政诉讼，在补偿决定规定期限内又不搬迁的，由贵阳市南明区人民政府依法申请人民法院强制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十、本方案只适用于青云路公共停车场建设项目征收范围内国有土地上房屋征收。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十一、本方案由房屋征收部门负责解释。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十二、本方案未尽事宜，按国务院《国有土地上房屋征收与补偿条例》等相关法规及贵州省、贵阳市、南明区人民政府有关文件执行。</w:t>
      </w:r>
    </w:p>
    <w:p>
      <w:pPr>
        <w:keepNext w:val="0"/>
        <w:keepLines w:val="0"/>
        <w:pageBreakBefore w:val="0"/>
        <w:widowControl w:val="0"/>
        <w:kinsoku/>
        <w:wordWrap/>
        <w:overflowPunct/>
        <w:topLinePunct w:val="0"/>
        <w:autoSpaceDE/>
        <w:autoSpaceDN/>
        <w:bidi w:val="0"/>
        <w:adjustRightInd/>
        <w:snapToGrid w:val="0"/>
        <w:spacing w:line="600" w:lineRule="exact"/>
        <w:ind w:right="480"/>
        <w:jc w:val="righ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3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3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3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2020年12月23日</w:t>
      </w:r>
    </w:p>
    <w:p>
      <w:pPr>
        <w:snapToGrid w:val="0"/>
        <w:spacing w:line="480" w:lineRule="exact"/>
        <w:ind w:right="300"/>
        <w:jc w:val="right"/>
        <w:rPr>
          <w:rFonts w:hint="eastAsia" w:ascii="仿宋_GB2312" w:hAnsi="仿宋_GB2312" w:eastAsia="仿宋_GB2312" w:cs="仿宋_GB2312"/>
          <w:sz w:val="32"/>
          <w:szCs w:val="32"/>
        </w:rPr>
      </w:pPr>
    </w:p>
    <w:p>
      <w:pPr>
        <w:snapToGrid w:val="0"/>
        <w:spacing w:line="480" w:lineRule="exact"/>
        <w:ind w:right="300"/>
        <w:jc w:val="right"/>
        <w:rPr>
          <w:rFonts w:hint="eastAsia" w:ascii="仿宋_GB2312" w:hAnsi="仿宋_GB2312" w:eastAsia="仿宋_GB2312" w:cs="仿宋_GB2312"/>
          <w:sz w:val="32"/>
          <w:szCs w:val="32"/>
        </w:rPr>
      </w:pPr>
    </w:p>
    <w:p>
      <w:pPr>
        <w:snapToGrid w:val="0"/>
        <w:spacing w:line="480" w:lineRule="exact"/>
        <w:ind w:right="300"/>
        <w:jc w:val="right"/>
        <w:rPr>
          <w:rFonts w:hint="eastAsia" w:ascii="仿宋_GB2312" w:hAnsi="仿宋_GB2312" w:eastAsia="仿宋_GB2312" w:cs="仿宋_GB2312"/>
          <w:sz w:val="32"/>
          <w:szCs w:val="32"/>
        </w:rPr>
      </w:pPr>
    </w:p>
    <w:p>
      <w:pPr>
        <w:snapToGrid w:val="0"/>
        <w:spacing w:line="480" w:lineRule="exact"/>
        <w:ind w:right="300"/>
        <w:jc w:val="both"/>
        <w:rPr>
          <w:rFonts w:ascii="仿宋_GB2312" w:hAnsi="仿宋_GB2312" w:eastAsia="仿宋_GB2312" w:cs="仿宋_GB2312"/>
          <w:sz w:val="32"/>
          <w:szCs w:val="32"/>
        </w:rPr>
      </w:pPr>
    </w:p>
    <w:sectPr>
      <w:footerReference r:id="rId3" w:type="default"/>
      <w:pgSz w:w="11906" w:h="16838"/>
      <w:pgMar w:top="1020" w:right="1474" w:bottom="907" w:left="147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3D9E"/>
    <w:rsid w:val="000E3A08"/>
    <w:rsid w:val="00134E04"/>
    <w:rsid w:val="0016585D"/>
    <w:rsid w:val="001A1240"/>
    <w:rsid w:val="002E35EB"/>
    <w:rsid w:val="00315E08"/>
    <w:rsid w:val="00333433"/>
    <w:rsid w:val="00384E2E"/>
    <w:rsid w:val="003B7BED"/>
    <w:rsid w:val="005C07E4"/>
    <w:rsid w:val="00603D9E"/>
    <w:rsid w:val="00713E09"/>
    <w:rsid w:val="007750A5"/>
    <w:rsid w:val="00794466"/>
    <w:rsid w:val="00933911"/>
    <w:rsid w:val="00937D78"/>
    <w:rsid w:val="009C2467"/>
    <w:rsid w:val="009E2334"/>
    <w:rsid w:val="009E33B1"/>
    <w:rsid w:val="00AE494F"/>
    <w:rsid w:val="00B725EF"/>
    <w:rsid w:val="00B7383C"/>
    <w:rsid w:val="00BB4859"/>
    <w:rsid w:val="00C424FA"/>
    <w:rsid w:val="00C432E4"/>
    <w:rsid w:val="00C45372"/>
    <w:rsid w:val="00D54920"/>
    <w:rsid w:val="00E80C10"/>
    <w:rsid w:val="00F22892"/>
    <w:rsid w:val="044E74D3"/>
    <w:rsid w:val="167A3BE4"/>
    <w:rsid w:val="278B68D3"/>
    <w:rsid w:val="28EA3B73"/>
    <w:rsid w:val="2A040236"/>
    <w:rsid w:val="2A612DA9"/>
    <w:rsid w:val="30115F29"/>
    <w:rsid w:val="33C376B5"/>
    <w:rsid w:val="36E1106F"/>
    <w:rsid w:val="380C40AD"/>
    <w:rsid w:val="3911003F"/>
    <w:rsid w:val="3BF92A39"/>
    <w:rsid w:val="42CE4DB9"/>
    <w:rsid w:val="45441834"/>
    <w:rsid w:val="4B645ABD"/>
    <w:rsid w:val="549051A0"/>
    <w:rsid w:val="5FF83C1F"/>
    <w:rsid w:val="64026691"/>
    <w:rsid w:val="6DE16761"/>
    <w:rsid w:val="75920ECF"/>
    <w:rsid w:val="7C7869B5"/>
    <w:rsid w:val="7CAB26C8"/>
    <w:rsid w:val="7F88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Char"/>
    <w:basedOn w:val="6"/>
    <w:link w:val="2"/>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783</Words>
  <Characters>4469</Characters>
  <Lines>37</Lines>
  <Paragraphs>10</Paragraphs>
  <TotalTime>5</TotalTime>
  <ScaleCrop>false</ScaleCrop>
  <LinksUpToDate>false</LinksUpToDate>
  <CharactersWithSpaces>5242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2020-12-23T01:23:00Z</dcterms:created>
  <dc:creator>WPS_1543365514</dc:creator>
  <cp:lastModifiedBy>陈明春</cp:lastModifiedBy>
  <cp:lastPrinted>2020-12-17T07:27:00Z</cp:lastPrinted>
  <dcterms:modified xsi:type="dcterms:W3CDTF">2020-12-29T06:46:01Z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