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5"/>
        </w:tabs>
        <w:spacing w:line="520" w:lineRule="exact"/>
        <w:jc w:val="center"/>
        <w:rPr>
          <w:rFonts w:hint="eastAsia" w:ascii="方正小标宋简体" w:hAnsi="黑体" w:eastAsia="方正小标宋简体" w:cs="仿宋_GB2312"/>
          <w:bCs/>
          <w:sz w:val="44"/>
          <w:szCs w:val="44"/>
        </w:rPr>
      </w:pPr>
      <w:r>
        <w:rPr>
          <w:rFonts w:hint="eastAsia" w:ascii="方正小标宋简体" w:hAnsi="黑体" w:eastAsia="方正小标宋简体" w:cs="仿宋_GB2312"/>
          <w:bCs/>
          <w:sz w:val="44"/>
          <w:szCs w:val="44"/>
        </w:rPr>
        <w:t>南明区山景苑项目调规新增地块（A地块)</w:t>
      </w:r>
      <w:r>
        <w:rPr>
          <w:rFonts w:hint="eastAsia" w:ascii="方正小标宋简体" w:hAnsi="黑体" w:eastAsia="方正小标宋简体" w:cs="仿宋_GB2312"/>
          <w:sz w:val="44"/>
          <w:szCs w:val="44"/>
        </w:rPr>
        <w:t>国有土地上房屋征收补偿方案</w:t>
      </w:r>
    </w:p>
    <w:p>
      <w:pPr>
        <w:snapToGrid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贵阳市城市建设，经贵阳市相关部门批准，进行南明区山景苑项目调规新增地块（A地块)建设，由贵阳市南明区人民政府对项目规划红线范围内的房屋实施征收。根据国务院《国有土地上房屋征收与补偿条例》（国务院第590号令）等相关法律法规的规定，结合被征收范围的实际情况，制定以下征收补偿方案：</w:t>
      </w:r>
    </w:p>
    <w:p>
      <w:pPr>
        <w:numPr>
          <w:ilvl w:val="0"/>
          <w:numId w:val="0"/>
        </w:numPr>
        <w:snapToGrid w:val="0"/>
        <w:spacing w:line="520"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lang w:eastAsia="zh-CN"/>
        </w:rPr>
        <w:t>被征收房屋合法建筑面积、性质和用途的确定及所有权不明房屋的处理</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征收房屋建筑面积、性质和用途等以房屋权属证书为准，被征收人对房屋权属证书证载建筑面积有异议的，可依法到产权登记部门申请确定。对于产权为按份共有、共同共有的被征收房屋，按照一物一权的原则以整体进行统一安置补偿。</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（二）被征收房屋因历史遗留问题未进行合法性认定的，由区政府或南明区未经登记建筑合法性认定工作领导小组组织规划、国土等有关部门依法进行调查、认定，以认定结果进行补偿安置。</w:t>
      </w:r>
    </w:p>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（三）被征收房屋所有权人不明确的，由房屋征收部门根据本方案拟定被征收房屋的征收补偿方案报南明区人民政府批准后经在征收范围内进行公示并证据保全进行拆除。</w:t>
      </w:r>
    </w:p>
    <w:p>
      <w:pPr>
        <w:numPr>
          <w:ilvl w:val="0"/>
          <w:numId w:val="0"/>
        </w:numPr>
        <w:snapToGrid w:val="0"/>
        <w:spacing w:line="520" w:lineRule="exact"/>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二、被征收房屋价值的确定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0" w:name="_Hlk535143623"/>
      <w:r>
        <w:rPr>
          <w:rFonts w:hint="eastAsia" w:ascii="仿宋_GB2312" w:hAnsi="仿宋_GB2312" w:eastAsia="仿宋_GB2312" w:cs="仿宋_GB2312"/>
          <w:sz w:val="32"/>
          <w:szCs w:val="32"/>
        </w:rPr>
        <w:t>经在</w:t>
      </w:r>
      <w:r>
        <w:rPr>
          <w:rFonts w:hint="eastAsia" w:ascii="仿宋_GB2312" w:hAnsi="仿宋_GB2312" w:eastAsia="仿宋_GB2312" w:cs="仿宋_GB2312"/>
          <w:bCs/>
          <w:sz w:val="32"/>
          <w:szCs w:val="32"/>
        </w:rPr>
        <w:t>项目</w:t>
      </w:r>
      <w:r>
        <w:rPr>
          <w:rFonts w:hint="eastAsia" w:ascii="仿宋_GB2312" w:hAnsi="仿宋_GB2312" w:eastAsia="仿宋_GB2312" w:cs="仿宋_GB2312"/>
          <w:sz w:val="32"/>
          <w:szCs w:val="32"/>
        </w:rPr>
        <w:t>征收范围内发放选择评估机构民意调查表，由被征收人通过多数（半数以上）意见协商选定的房地产价格评估机构对被征收房屋进行评估，评估结果见各分户评估报告。</w:t>
      </w:r>
      <w:bookmarkEnd w:id="0"/>
    </w:p>
    <w:p>
      <w:pPr>
        <w:adjustRightIn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bookmarkStart w:id="1" w:name="_Hlk535143641"/>
      <w:r>
        <w:rPr>
          <w:rFonts w:hint="eastAsia" w:ascii="仿宋_GB2312" w:hAnsi="仿宋_GB2312" w:eastAsia="仿宋_GB2312" w:cs="仿宋_GB2312"/>
          <w:sz w:val="32"/>
          <w:szCs w:val="32"/>
        </w:rPr>
        <w:t>被征收人对被征收房屋评估结果有异议的，应当自收到分户评估报告后，按照分户评估报告载明的途径申请复核评估、鉴定。</w:t>
      </w:r>
      <w:bookmarkEnd w:id="1"/>
    </w:p>
    <w:p>
      <w:pPr>
        <w:adjustRightInd w:val="0"/>
        <w:spacing w:line="560" w:lineRule="exact"/>
        <w:ind w:firstLine="643" w:firstLineChars="200"/>
        <w:contextualSpacing/>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sz w:val="32"/>
          <w:szCs w:val="32"/>
        </w:rPr>
        <w:t>合法私有住宅房屋的补偿方式</w:t>
      </w:r>
    </w:p>
    <w:p>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由征收部门根据评估机构出具的评估报告对被征收人</w:t>
      </w:r>
      <w:r>
        <w:rPr>
          <w:rFonts w:hint="eastAsia" w:ascii="仿宋_GB2312" w:hAnsi="宋体" w:eastAsia="仿宋_GB2312"/>
          <w:sz w:val="32"/>
          <w:szCs w:val="32"/>
          <w:lang w:eastAsia="zh-CN"/>
        </w:rPr>
        <w:t>给予一次性</w:t>
      </w:r>
      <w:r>
        <w:rPr>
          <w:rFonts w:hint="eastAsia" w:ascii="仿宋_GB2312" w:hAnsi="宋体" w:eastAsia="仿宋_GB2312"/>
          <w:sz w:val="32"/>
          <w:szCs w:val="32"/>
        </w:rPr>
        <w:t>货币补偿。</w:t>
      </w:r>
    </w:p>
    <w:p>
      <w:pPr>
        <w:snapToGrid w:val="0"/>
        <w:spacing w:line="52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sz w:val="32"/>
          <w:szCs w:val="32"/>
        </w:rPr>
        <w:t>划拨土地性质房屋的征收补偿方式</w:t>
      </w:r>
    </w:p>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土地性质为划拨或未办理土地使用证的合法房屋，可到国土部门补交土地出让金。已补交土地出让金的，按照完全产权的私有住房进行补偿；未补交土地出让金的，将按照划拨土地性质据实评估后进行补偿。</w:t>
      </w:r>
    </w:p>
    <w:p>
      <w:pPr>
        <w:numPr>
          <w:ilvl w:val="0"/>
          <w:numId w:val="0"/>
        </w:numPr>
        <w:snapToGrid w:val="0"/>
        <w:spacing w:line="520" w:lineRule="exact"/>
        <w:ind w:firstLine="643" w:firstLineChars="200"/>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非住宅房屋的补偿</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kern w:val="0"/>
          <w:sz w:val="32"/>
          <w:szCs w:val="32"/>
          <w:shd w:val="clear" w:color="auto" w:fill="FFFFFF"/>
        </w:rPr>
        <w:t>本条所指非住宅房屋是房屋权属证书登记（或通过合法性认定）的用途为商业（或营业）、办公或其他的非住宅性质的房屋。由征收部门根据评估机构出具的评估报告对被征收人给予一次性货币补偿。</w:t>
      </w:r>
    </w:p>
    <w:p>
      <w:pPr>
        <w:numPr>
          <w:ilvl w:val="0"/>
          <w:numId w:val="0"/>
        </w:numPr>
        <w:snapToGrid w:val="0"/>
        <w:spacing w:line="52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搬迁费、临时安置费按下列标准计发</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（一）搬迁费，按被征收房屋合法建筑面积计算，住宅按照每次每平方米10元计发，非住宅按照每次每平方米20元计发</w:t>
      </w:r>
      <w:r>
        <w:rPr>
          <w:rFonts w:hint="eastAsia" w:ascii="仿宋_GB2312" w:hAnsi="仿宋_GB2312" w:eastAsia="仿宋_GB2312" w:cs="仿宋_GB2312"/>
          <w:sz w:val="32"/>
          <w:szCs w:val="32"/>
          <w:lang w:eastAsia="zh-CN"/>
        </w:rPr>
        <w:t>，按一次性计发。</w:t>
      </w:r>
      <w:r>
        <w:rPr>
          <w:rFonts w:hint="eastAsia" w:ascii="仿宋_GB2312" w:hAnsi="仿宋_GB2312" w:eastAsia="仿宋_GB2312" w:cs="仿宋_GB2312"/>
          <w:sz w:val="32"/>
          <w:szCs w:val="32"/>
        </w:rPr>
        <w:t>如被征收住宅合法建筑面积不足45平方米，按45平方米计发。</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临时安置费</w:t>
      </w:r>
    </w:p>
    <w:p>
      <w:pPr>
        <w:snapToGrid w:val="0"/>
        <w:spacing w:line="520" w:lineRule="exact"/>
        <w:rPr>
          <w:rFonts w:hint="eastAsia" w:ascii="仿宋_GB2312" w:hAnsi="仿宋_GB2312" w:eastAsia="仿宋_GB2312" w:cs="仿宋_GB2312"/>
          <w:b/>
          <w:kern w:val="0"/>
          <w:sz w:val="32"/>
          <w:szCs w:val="32"/>
          <w:shd w:val="clear" w:color="auto" w:fill="FFFFFF"/>
        </w:rPr>
      </w:pPr>
      <w:r>
        <w:rPr>
          <w:rFonts w:hint="eastAsia" w:ascii="仿宋_GB2312" w:hAnsi="仿宋_GB2312" w:eastAsia="仿宋_GB2312" w:cs="仿宋_GB2312"/>
          <w:sz w:val="32"/>
          <w:szCs w:val="32"/>
        </w:rPr>
        <w:t xml:space="preserve">     按被征收房屋合法建筑面积计发三个月，住宅每月每平方米10元，非住宅每月每平方米20元。如被征收住宅合法建筑面积不足45平方米，按45平方米标准计发。</w:t>
      </w:r>
    </w:p>
    <w:p>
      <w:pPr>
        <w:numPr>
          <w:ilvl w:val="0"/>
          <w:numId w:val="0"/>
        </w:numPr>
        <w:snapToGrid w:val="0"/>
        <w:spacing w:line="52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附属设施、装修及室内设施补偿：</w:t>
      </w:r>
    </w:p>
    <w:p>
      <w:pPr>
        <w:snapToGrid w:val="0"/>
        <w:spacing w:line="52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（一）附属设施</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1、水泥院坝：15-30元/</w:t>
      </w:r>
      <w:r>
        <w:rPr>
          <w:rFonts w:hint="eastAsia" w:ascii="Segoe UI Symbol" w:hAnsi="Segoe UI Symbol" w:eastAsia="Segoe UI Symbol" w:cs="Segoe UI Symbol"/>
          <w:sz w:val="32"/>
          <w:szCs w:val="32"/>
        </w:rPr>
        <w:t>㎡</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2、水泥空心砖围墙：120元/</w:t>
      </w:r>
      <w:r>
        <w:rPr>
          <w:rFonts w:hint="eastAsia" w:ascii="Segoe UI Symbol" w:hAnsi="Segoe UI Symbol" w:eastAsia="Segoe UI Symbol" w:cs="Segoe UI Symbol"/>
          <w:sz w:val="32"/>
          <w:szCs w:val="32"/>
        </w:rPr>
        <w:t>㎡</w:t>
      </w:r>
      <w:r>
        <w:rPr>
          <w:rFonts w:hint="eastAsia" w:ascii="仿宋_GB2312" w:hAnsi="仿宋_GB2312" w:eastAsia="仿宋_GB2312" w:cs="仿宋_GB2312"/>
          <w:sz w:val="32"/>
          <w:szCs w:val="32"/>
        </w:rPr>
        <w:t>、红砖围墙</w:t>
      </w:r>
      <w:r>
        <w:rPr>
          <w:rFonts w:hint="eastAsia" w:ascii="仿宋_GB2312" w:hAnsi="宋体" w:eastAsia="仿宋_GB2312" w:cs="仿宋_GB2312"/>
          <w:sz w:val="32"/>
          <w:szCs w:val="32"/>
        </w:rPr>
        <w:t>150-180元/</w:t>
      </w:r>
      <w:r>
        <w:rPr>
          <w:rFonts w:hint="eastAsia" w:ascii="Segoe UI Symbol" w:hAnsi="Segoe UI Symbol" w:eastAsia="Segoe UI Symbol" w:cs="Segoe UI Symbol"/>
          <w:sz w:val="32"/>
          <w:szCs w:val="32"/>
        </w:rPr>
        <w:t>㎡</w:t>
      </w:r>
      <w:r>
        <w:rPr>
          <w:rFonts w:hint="eastAsia" w:ascii="仿宋_GB2312" w:hAnsi="仿宋_GB2312" w:eastAsia="仿宋_GB2312" w:cs="仿宋_GB2312"/>
          <w:sz w:val="32"/>
          <w:szCs w:val="32"/>
        </w:rPr>
        <w:t>、石砌围墙</w:t>
      </w:r>
      <w:r>
        <w:rPr>
          <w:rFonts w:hint="eastAsia" w:ascii="仿宋_GB2312" w:hAnsi="宋体" w:eastAsia="仿宋_GB2312" w:cs="仿宋_GB2312"/>
          <w:sz w:val="32"/>
          <w:szCs w:val="32"/>
        </w:rPr>
        <w:t>120-170元/</w:t>
      </w:r>
      <w:r>
        <w:rPr>
          <w:rFonts w:hint="eastAsia" w:ascii="Segoe UI Symbol" w:hAnsi="Segoe UI Symbol" w:eastAsia="Segoe UI Symbol" w:cs="Segoe UI Symbol"/>
          <w:sz w:val="32"/>
          <w:szCs w:val="32"/>
        </w:rPr>
        <w:t>㎡</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3、石砌堡坎、水沟、挡土墙：100-170元/m</w:t>
      </w:r>
      <w:r>
        <w:rPr>
          <w:rFonts w:ascii="Calibri" w:hAnsi="Calibri" w:eastAsia="仿宋_GB2312" w:cs="Calibri"/>
          <w:sz w:val="32"/>
          <w:szCs w:val="32"/>
        </w:rPr>
        <w:t>³</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4、畜圈、厕所：砖混：100-160元/</w:t>
      </w:r>
      <w:r>
        <w:rPr>
          <w:rFonts w:hint="eastAsia" w:ascii="Segoe UI Symbol" w:hAnsi="Segoe UI Symbol" w:eastAsia="Segoe UI Symbol" w:cs="Segoe UI Symbol"/>
          <w:sz w:val="32"/>
          <w:szCs w:val="32"/>
        </w:rPr>
        <w:t>㎡</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砖木：80-130元/</w:t>
      </w:r>
      <w:r>
        <w:rPr>
          <w:rFonts w:hint="eastAsia" w:ascii="Segoe UI Symbol" w:hAnsi="Segoe UI Symbol" w:eastAsia="Segoe UI Symbol" w:cs="Segoe UI Symbol"/>
          <w:sz w:val="32"/>
          <w:szCs w:val="32"/>
        </w:rPr>
        <w:t>㎡</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其它：50-100元/</w:t>
      </w:r>
      <w:r>
        <w:rPr>
          <w:rFonts w:hint="eastAsia" w:ascii="Segoe UI Symbol" w:hAnsi="Segoe UI Symbol" w:eastAsia="Segoe UI Symbol" w:cs="Segoe UI Symbol"/>
          <w:sz w:val="32"/>
          <w:szCs w:val="32"/>
        </w:rPr>
        <w:t>㎡</w:t>
      </w:r>
      <w:r>
        <w:rPr>
          <w:rFonts w:hint="eastAsia" w:ascii="仿宋_GB2312" w:hAnsi="宋体" w:eastAsia="仿宋_GB2312" w:cs="仿宋_GB2312"/>
          <w:sz w:val="32"/>
          <w:szCs w:val="32"/>
        </w:rPr>
        <w:t xml:space="preserve">           </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5、粪池：80-150元/m</w:t>
      </w:r>
      <w:r>
        <w:rPr>
          <w:rFonts w:ascii="Calibri" w:hAnsi="Calibri" w:eastAsia="仿宋_GB2312" w:cs="Calibri"/>
          <w:sz w:val="32"/>
          <w:szCs w:val="32"/>
        </w:rPr>
        <w:t>³</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6、门楼：500元/个</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7、红砖、石砌、水泥粉面水沟：170元/m</w:t>
      </w:r>
      <w:r>
        <w:rPr>
          <w:rFonts w:ascii="Calibri" w:hAnsi="Calibri" w:eastAsia="仿宋_GB2312" w:cs="Calibri"/>
          <w:sz w:val="32"/>
          <w:szCs w:val="32"/>
        </w:rPr>
        <w:t>³</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8、隔热层：30元/</w:t>
      </w:r>
      <w:r>
        <w:rPr>
          <w:rFonts w:hint="eastAsia" w:ascii="Segoe UI Symbol" w:hAnsi="Segoe UI Symbol" w:eastAsia="Segoe UI Symbol" w:cs="Segoe UI Symbol"/>
          <w:sz w:val="32"/>
          <w:szCs w:val="32"/>
        </w:rPr>
        <w:t>㎡</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9、女儿墙：45元/</w:t>
      </w:r>
      <w:r>
        <w:rPr>
          <w:rFonts w:hint="eastAsia" w:ascii="Segoe UI Symbol" w:hAnsi="Segoe UI Symbol" w:eastAsia="Segoe UI Symbol" w:cs="Segoe UI Symbol"/>
          <w:sz w:val="32"/>
          <w:szCs w:val="32"/>
        </w:rPr>
        <w:t>㎡</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10、水池、花池：100元/m</w:t>
      </w:r>
      <w:r>
        <w:rPr>
          <w:rFonts w:ascii="Calibri" w:hAnsi="Calibri" w:eastAsia="仿宋_GB2312" w:cs="Calibri"/>
          <w:sz w:val="32"/>
          <w:szCs w:val="32"/>
        </w:rPr>
        <w:t>³</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11、灶台：80元/</w:t>
      </w:r>
      <w:r>
        <w:rPr>
          <w:rFonts w:hint="eastAsia" w:ascii="Segoe UI Symbol" w:hAnsi="Segoe UI Symbol" w:eastAsia="Segoe UI Symbol" w:cs="Segoe UI Symbol"/>
          <w:sz w:val="32"/>
          <w:szCs w:val="32"/>
        </w:rPr>
        <w:t>㎡</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12、简易棚：100-150元/</w:t>
      </w:r>
      <w:r>
        <w:rPr>
          <w:rFonts w:hint="eastAsia" w:ascii="Segoe UI Symbol" w:hAnsi="Segoe UI Symbol" w:eastAsia="Segoe UI Symbol" w:cs="Segoe UI Symbol"/>
          <w:sz w:val="32"/>
          <w:szCs w:val="32"/>
        </w:rPr>
        <w:t>㎡</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13、板房、钢架棚：300元/</w:t>
      </w:r>
      <w:r>
        <w:rPr>
          <w:rFonts w:hint="eastAsia" w:ascii="Segoe UI Symbol" w:hAnsi="Segoe UI Symbol" w:eastAsia="Segoe UI Symbol" w:cs="Segoe UI Symbol"/>
          <w:sz w:val="32"/>
          <w:szCs w:val="32"/>
        </w:rPr>
        <w:t>㎡</w:t>
      </w:r>
    </w:p>
    <w:p>
      <w:pPr>
        <w:snapToGrid w:val="0"/>
        <w:spacing w:line="520" w:lineRule="exact"/>
        <w:ind w:firstLine="633" w:firstLineChars="198"/>
        <w:rPr>
          <w:rFonts w:hint="eastAsia" w:ascii="仿宋_GB2312" w:hAnsi="宋体" w:eastAsia="仿宋_GB2312" w:cs="仿宋_GB2312"/>
          <w:sz w:val="32"/>
          <w:szCs w:val="32"/>
        </w:rPr>
      </w:pPr>
      <w:r>
        <w:rPr>
          <w:rFonts w:hint="eastAsia" w:ascii="仿宋_GB2312" w:hAnsi="宋体" w:eastAsia="仿宋_GB2312" w:cs="仿宋_GB2312"/>
          <w:sz w:val="32"/>
          <w:szCs w:val="32"/>
        </w:rPr>
        <w:t>14、外楼梯（投影面积）200元/</w:t>
      </w:r>
      <w:r>
        <w:rPr>
          <w:rFonts w:hint="eastAsia" w:ascii="Segoe UI Symbol" w:hAnsi="Segoe UI Symbol" w:eastAsia="Segoe UI Symbol" w:cs="Segoe UI Symbol"/>
          <w:sz w:val="32"/>
          <w:szCs w:val="32"/>
        </w:rPr>
        <w:t>㎡</w:t>
      </w:r>
    </w:p>
    <w:p>
      <w:pPr>
        <w:snapToGrid w:val="0"/>
        <w:spacing w:line="520" w:lineRule="exact"/>
        <w:ind w:firstLine="636" w:firstLineChars="198"/>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（二）装修</w:t>
      </w:r>
      <w:r>
        <w:rPr>
          <w:rFonts w:hint="eastAsia" w:ascii="仿宋_GB2312" w:hAnsi="仿宋_GB2312" w:eastAsia="仿宋_GB2312" w:cs="仿宋_GB2312"/>
          <w:b/>
          <w:sz w:val="32"/>
          <w:szCs w:val="32"/>
        </w:rPr>
        <w:t>及室内设施</w:t>
      </w:r>
    </w:p>
    <w:tbl>
      <w:tblPr>
        <w:tblStyle w:val="4"/>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05"/>
        <w:gridCol w:w="1559"/>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名称</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w:t>
            </w:r>
          </w:p>
        </w:tc>
        <w:tc>
          <w:tcPr>
            <w:tcW w:w="1990" w:type="dxa"/>
            <w:noWrap w:val="0"/>
            <w:vAlign w:val="center"/>
          </w:tcPr>
          <w:p>
            <w:pPr>
              <w:widowControl/>
              <w:spacing w:line="560" w:lineRule="exact"/>
              <w:jc w:val="center"/>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电话（不计分机）</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门</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煤气（智能表）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煤气（普通表）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数字、有线电视</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独立水表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分水表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块</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独立电表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分电表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块</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动力电（迁移）</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动力电（注销）</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电脑宽带迁移</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电热迁移</w:t>
            </w:r>
          </w:p>
        </w:tc>
        <w:tc>
          <w:tcPr>
            <w:tcW w:w="1559" w:type="dxa"/>
            <w:noWrap w:val="0"/>
            <w:vAlign w:val="center"/>
          </w:tcPr>
          <w:p>
            <w:pPr>
              <w:widowControl/>
              <w:spacing w:line="560"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热水器迁移</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空调迁移（柜机）</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空调迁移(挂机)</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太阳能热水器迁移费</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瓷粉+乳胶漆</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墙纸</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19</w:t>
            </w:r>
          </w:p>
        </w:tc>
        <w:tc>
          <w:tcPr>
            <w:tcW w:w="4805" w:type="dxa"/>
            <w:noWrap w:val="0"/>
            <w:vAlign w:val="center"/>
          </w:tcPr>
          <w:p>
            <w:pPr>
              <w:widowControl/>
              <w:spacing w:line="42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保丽板、塑料扣板、普通木质地板、墙、顶</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瓷砖</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9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木质吊顶</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w:t>
            </w:r>
          </w:p>
        </w:tc>
        <w:tc>
          <w:tcPr>
            <w:tcW w:w="4805"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木墙裙</w:t>
            </w:r>
          </w:p>
        </w:tc>
        <w:tc>
          <w:tcPr>
            <w:tcW w:w="15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铝扣板顶、墙</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石膏线条</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25</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木质线条</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26</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花岗石地板</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27</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大理石地板</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28</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竹、实木地板</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29</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强化复合地板</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优质铝合金门窗</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普通铝合金门窗</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塑钢窗</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34</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铁门、钢管防盗门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35</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优质全封闭防盗门(含附件)</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36</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普通全封闭防盗门(含附件)</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37</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实木门（套）</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38</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钢条防护栏</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39</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普通地板砖、水磨石</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电视幕墙</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41</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卷帘门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普通机压门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整体浴室</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套</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44</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窗套</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45</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窗帘盒</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46</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钢质扶手</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47</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不锈钢扶手</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48</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铁艺扶手</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49</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钢筋、不锈钢护栏</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整体橱柜（普通）</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51</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整体橱柜（高级）</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吊柜</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53</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固定衣柜、储物柜（普通）</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54</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固定衣柜、储物柜（高级）</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55</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蹲式便器</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56</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坐便器（带水箱）</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57</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浴缸</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套</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58</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台式面盆</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套</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59</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洗手盆、陶瓷拖把缸、洗涤缸</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遮阳雨棚</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61</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琉璃瓦</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外墙砖</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63</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无油烟灶台</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64</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纱窗</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65</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暗线及开关、插座</w:t>
            </w:r>
          </w:p>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（按原房建筑面积计算）</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66</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地热（暖）</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center"/>
          </w:tcPr>
          <w:p>
            <w:pPr>
              <w:widowControl/>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67</w:t>
            </w:r>
          </w:p>
        </w:tc>
        <w:tc>
          <w:tcPr>
            <w:tcW w:w="4805"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装饰玻璃</w:t>
            </w:r>
          </w:p>
        </w:tc>
        <w:tc>
          <w:tcPr>
            <w:tcW w:w="1559"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noWrap w:val="0"/>
            <w:vAlign w:val="center"/>
          </w:tcPr>
          <w:p>
            <w:pPr>
              <w:widowControl/>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400</w:t>
            </w:r>
          </w:p>
        </w:tc>
      </w:tr>
    </w:tbl>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各种装修及附属设施数据由征收实施单位、被征收人、属地办事处共同核定后按上述标准给予补偿。涉及对装修、附属设施补偿单价有异议，装修、附属设施项目缺项，设备、设施搬迁等事宜，可由征收当事双方共同委托具有资质的评估单位对其评估后确定补偿价值。</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本条款补偿费由征收部门一次性发放给被征收人，涉及水、电、煤气等设施使用费用，由被征收人在领取补偿款前自行缴清，设施迁移及费用由被征收人自理。</w:t>
      </w:r>
    </w:p>
    <w:p>
      <w:pPr>
        <w:snapToGrid w:val="0"/>
        <w:spacing w:line="52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停产停业损失的补偿：</w:t>
      </w:r>
    </w:p>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（一）参照黔府办发〔2011〕116号文中《贵州省国有土地上房屋征收停产停业损失补偿指导意见》的规定，被征收房屋符合以下条件的，应当给予停产停业损失补偿：</w:t>
      </w:r>
    </w:p>
    <w:p>
      <w:pPr>
        <w:snapToGrid w:val="0"/>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1、被征收人提供合法有效的经营手续，或属地办事处或工商行政管理部门出具的事实经营证明的;</w:t>
      </w:r>
    </w:p>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2、房屋征收公告发布前持续经营的;</w:t>
      </w:r>
    </w:p>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3、因征收房屋造成停产停业损失的。</w:t>
      </w:r>
    </w:p>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（二）房屋造成的停产停业损失，按照以下分类和标准进行补偿：</w:t>
      </w:r>
    </w:p>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1、被征收人能够提供税务部门出具在被征收房屋内经营产生的上一年度月均应纳税所得额证明的，按照上一年度月均应纳税所得额计发六个月的经营性损失补偿。</w:t>
      </w:r>
    </w:p>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2、被征收人不能提供税务部门出具在被征收房屋内经营产生的上一年度月均应纳税所得额证明的，可由评估机构评估经营性损失补偿。</w:t>
      </w:r>
    </w:p>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3、被征收人能够提供向社会保险经办机构缴纳社会保险费凭证的，按照上一年度本单位职工月均工资总额（或上一年度职工月均社保缴费基数）计算每月的职工失业补助，计发六个月。</w:t>
      </w:r>
    </w:p>
    <w:p>
      <w:pPr>
        <w:snapToGrid w:val="0"/>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被征收人不能够提供向社会保险经办机构缴纳社会保险费凭证，但又存在事实用工（含经营者本人）行为的，由属地办事处据实核定用工人员，按照贵阳市现行最低工资标准计算劳动用工失业补助，计发六个月。</w:t>
      </w:r>
    </w:p>
    <w:p>
      <w:pPr>
        <w:snapToGrid w:val="0"/>
        <w:spacing w:line="520" w:lineRule="exact"/>
        <w:ind w:firstLine="636" w:firstLineChars="1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房屋权属证书登记用途或经合法性认定为合法住宅，但已改变为非住宅房屋，被征收人能提供合法有效的经营手续，或提供属地</w:t>
      </w:r>
      <w:bookmarkStart w:id="2" w:name="_Hlk535145473"/>
      <w:r>
        <w:rPr>
          <w:rFonts w:hint="eastAsia" w:ascii="仿宋_GB2312" w:hAnsi="仿宋_GB2312" w:eastAsia="仿宋_GB2312" w:cs="仿宋_GB2312"/>
          <w:b/>
          <w:sz w:val="32"/>
          <w:szCs w:val="32"/>
        </w:rPr>
        <w:t>办事处或</w:t>
      </w:r>
      <w:bookmarkEnd w:id="2"/>
      <w:r>
        <w:rPr>
          <w:rFonts w:hint="eastAsia" w:ascii="仿宋_GB2312" w:hAnsi="仿宋_GB2312" w:eastAsia="仿宋_GB2312" w:cs="仿宋_GB2312"/>
          <w:b/>
          <w:sz w:val="32"/>
          <w:szCs w:val="32"/>
        </w:rPr>
        <w:t>工商行政管理部门出具的事实经营（改变用途）证明的，参照黔府办发〔2011〕116号文中《贵州省国有土地上房屋征收停产停业损失补偿指导意见》的相关规定适当提高实际用于非住宅的房屋价值的补偿。</w:t>
      </w:r>
    </w:p>
    <w:p>
      <w:pPr>
        <w:snapToGrid w:val="0"/>
        <w:spacing w:line="520" w:lineRule="exact"/>
        <w:ind w:firstLine="636" w:firstLineChars="1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w:t>
      </w:r>
      <w:r>
        <w:rPr>
          <w:rFonts w:hint="eastAsia" w:ascii="仿宋_GB2312" w:hAnsi="仿宋_GB2312" w:eastAsia="仿宋_GB2312" w:cs="仿宋_GB2312"/>
          <w:b/>
          <w:sz w:val="32"/>
          <w:szCs w:val="32"/>
        </w:rPr>
        <w:t>本项目征收签约期限为2020年x月xx日至2020年x月xx日。在本项目征收公告确定的签约期限内未签约又未搬迁交房的，不给予相关补助及奖励。在本项目征收公告确定的签约期限内未签约又未搬迁交房的，由房屋征收部门报请贵阳市南明区人民政府依照国务院《国有土地上房屋征收与补偿条例》的相关规定，按照本项目征收补偿方案的相关规定作出补偿决定，并在房屋征收范围内予以公告。被征收人在法定期限内不申请行政复议或者不提起行政诉讼，在补偿决定规定期限内又不搬迁的，由贵阳市南明区人民政府依法申请人民法院强制执行。</w:t>
      </w:r>
    </w:p>
    <w:p>
      <w:pPr>
        <w:snapToGrid w:val="0"/>
        <w:spacing w:line="520" w:lineRule="exact"/>
        <w:ind w:firstLine="636" w:firstLineChars="1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十一、</w:t>
      </w:r>
      <w:r>
        <w:rPr>
          <w:rFonts w:hint="eastAsia" w:ascii="仿宋_GB2312" w:hAnsi="仿宋_GB2312" w:eastAsia="仿宋_GB2312" w:cs="仿宋_GB2312"/>
          <w:b/>
          <w:sz w:val="32"/>
          <w:szCs w:val="32"/>
        </w:rPr>
        <w:t>本方案只适用于南明区山景苑项目调规新增地块（A地块)征收范围内国有土地上房屋征收。</w:t>
      </w:r>
    </w:p>
    <w:p>
      <w:pPr>
        <w:snapToGrid w:val="0"/>
        <w:spacing w:line="520" w:lineRule="exact"/>
        <w:ind w:firstLine="636" w:firstLineChars="1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本方案由房屋征收部门负责解释。</w:t>
      </w:r>
    </w:p>
    <w:p>
      <w:pPr>
        <w:snapToGrid w:val="0"/>
        <w:spacing w:line="520" w:lineRule="exact"/>
        <w:ind w:firstLine="636" w:firstLineChars="1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十三、</w:t>
      </w:r>
      <w:r>
        <w:rPr>
          <w:rFonts w:hint="eastAsia" w:ascii="仿宋_GB2312" w:hAnsi="仿宋_GB2312" w:eastAsia="仿宋_GB2312" w:cs="仿宋_GB2312"/>
          <w:b/>
          <w:sz w:val="32"/>
          <w:szCs w:val="32"/>
        </w:rPr>
        <w:t>本方案未尽事宜，按国务院《国有土地上房屋征收与补偿条例》等相关法规及南明区人民政府、南明区房屋征收管理局有关文件执行。</w:t>
      </w:r>
    </w:p>
    <w:p>
      <w:pPr>
        <w:snapToGrid w:val="0"/>
        <w:spacing w:line="520" w:lineRule="exact"/>
        <w:ind w:right="480"/>
        <w:jc w:val="right"/>
        <w:rPr>
          <w:rFonts w:hint="eastAsia" w:ascii="仿宋_GB2312" w:hAnsi="仿宋_GB2312" w:eastAsia="仿宋_GB2312" w:cs="仿宋_GB2312"/>
          <w:sz w:val="32"/>
          <w:szCs w:val="32"/>
        </w:rPr>
      </w:pPr>
    </w:p>
    <w:p>
      <w:pPr>
        <w:snapToGrid w:val="0"/>
        <w:spacing w:line="520" w:lineRule="exact"/>
        <w:ind w:right="480"/>
        <w:jc w:val="right"/>
        <w:rPr>
          <w:rFonts w:hint="eastAsia" w:ascii="仿宋_GB2312" w:hAnsi="仿宋_GB2312" w:eastAsia="仿宋_GB2312" w:cs="仿宋_GB2312"/>
          <w:sz w:val="32"/>
          <w:szCs w:val="32"/>
        </w:rPr>
      </w:pPr>
    </w:p>
    <w:p>
      <w:pPr>
        <w:snapToGrid w:val="0"/>
        <w:spacing w:line="520" w:lineRule="exact"/>
        <w:ind w:right="480"/>
        <w:jc w:val="right"/>
        <w:rPr>
          <w:rFonts w:hint="eastAsia" w:ascii="仿宋_GB2312" w:hAnsi="仿宋_GB2312" w:eastAsia="仿宋_GB2312" w:cs="仿宋_GB2312"/>
          <w:sz w:val="32"/>
          <w:szCs w:val="32"/>
        </w:rPr>
      </w:pPr>
    </w:p>
    <w:p>
      <w:pPr>
        <w:snapToGrid w:val="0"/>
        <w:spacing w:line="520" w:lineRule="exact"/>
        <w:ind w:right="3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bookmarkStart w:id="3" w:name="_GoBack"/>
      <w:bookmarkEnd w:id="3"/>
    </w:p>
    <w:sectPr>
      <w:headerReference r:id="rId3" w:type="default"/>
      <w:footerReference r:id="rId4" w:type="default"/>
      <w:footerReference r:id="rId5" w:type="even"/>
      <w:pgSz w:w="11906" w:h="16838"/>
      <w:pgMar w:top="1021" w:right="1474" w:bottom="1021" w:left="1588" w:header="851"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97155</wp:posOffset>
              </wp:positionV>
              <wp:extent cx="382270" cy="1714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2270" cy="171450"/>
                      </a:xfrm>
                      <a:prstGeom prst="rect">
                        <a:avLst/>
                      </a:prstGeom>
                      <a:noFill/>
                      <a:ln w="15875">
                        <a:noFill/>
                      </a:ln>
                    </wps:spPr>
                    <wps:txbx>
                      <w:txbxContent>
                        <w:p>
                          <w:pPr>
                            <w:pStyle w:val="2"/>
                            <w:jc w:val="center"/>
                          </w:pPr>
                          <w:r>
                            <w:fldChar w:fldCharType="begin"/>
                          </w:r>
                          <w:r>
                            <w:instrText xml:space="preserve"> PAGE   \* MERGEFORMAT </w:instrText>
                          </w:r>
                          <w:r>
                            <w:fldChar w:fldCharType="separate"/>
                          </w:r>
                          <w:r>
                            <w:t>- 14 -</w:t>
                          </w:r>
                          <w:r>
                            <w:fldChar w:fldCharType="end"/>
                          </w:r>
                        </w:p>
                      </w:txbxContent>
                    </wps:txbx>
                    <wps:bodyPr lIns="0" tIns="0" rIns="0" bIns="0" upright="0"/>
                  </wps:wsp>
                </a:graphicData>
              </a:graphic>
            </wp:anchor>
          </w:drawing>
        </mc:Choice>
        <mc:Fallback>
          <w:pict>
            <v:shape id="_x0000_s1026" o:spid="_x0000_s1026" o:spt="202" type="#_x0000_t202" style="position:absolute;left:0pt;margin-top:7.65pt;height:13.5pt;width:30.1pt;mso-position-horizontal:center;mso-position-horizontal-relative:margin;z-index:251658240;mso-width-relative:page;mso-height-relative:page;" filled="f" stroked="f" coordsize="21600,21600" o:gfxdata="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JPv7etUAAAAFAQAADwAA&#10;AAAAAAABACAAAAAiAAAAZHJzL2Rvd25yZXYueG1sUEsBAhQAFAAAAAgAh07iQPz+0iSnAQAALQMA&#10;AA4AAAAAAAAAAQAgAAAAJAEAAGRycy9lMm9Eb2MueG1sUEsFBgAAAAAGAAYAWQEAAD0FAAAAAA==&#10;">
              <v:fill on="f" focussize="0,0"/>
              <v:stroke on="f" weight="1.25pt"/>
              <v:imagedata o:title=""/>
              <o:lock v:ext="edit" aspectratio="f"/>
              <v:textbox inset="0mm,0mm,0mm,0mm">
                <w:txbxContent>
                  <w:p>
                    <w:pPr>
                      <w:pStyle w:val="2"/>
                      <w:jc w:val="center"/>
                    </w:pPr>
                    <w:r>
                      <w:fldChar w:fldCharType="begin"/>
                    </w:r>
                    <w:r>
                      <w:instrText xml:space="preserve"> PAGE   \* MERGEFORMAT </w:instrText>
                    </w:r>
                    <w:r>
                      <w:fldChar w:fldCharType="separate"/>
                    </w:r>
                    <w:r>
                      <w:t>- 14 -</w:t>
                    </w:r>
                    <w:r>
                      <w:fldChar w:fldCharType="end"/>
                    </w:r>
                  </w:p>
                </w:txbxContent>
              </v:textbox>
            </v:shape>
          </w:pict>
        </mc:Fallback>
      </mc:AlternateConten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005C3"/>
    <w:rsid w:val="086005B5"/>
    <w:rsid w:val="127A4CA2"/>
    <w:rsid w:val="1A8F3595"/>
    <w:rsid w:val="1D871421"/>
    <w:rsid w:val="3F156E7D"/>
    <w:rsid w:val="58542AB2"/>
    <w:rsid w:val="678B5B08"/>
    <w:rsid w:val="6F2005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2020-10-26T06:29:00Z</dcterms:created>
  <dc:creator>WPS_1543365514</dc:creator>
  <cp:lastModifiedBy>南明区政府办</cp:lastModifiedBy>
  <cp:lastPrinted>2020-10-26T08:31:00Z</cp:lastPrinted>
  <dcterms:modified xsi:type="dcterms:W3CDTF">2020-11-26T02:34:59Z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