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85"/>
        </w:tabs>
        <w:spacing w:line="700" w:lineRule="exact"/>
        <w:jc w:val="center"/>
        <w:rPr>
          <w:rFonts w:hint="eastAsia" w:ascii="方正小标宋简体" w:hAnsi="黑体" w:eastAsia="方正小标宋简体" w:cs="仿宋_GB2312"/>
          <w:bCs/>
          <w:sz w:val="44"/>
          <w:szCs w:val="44"/>
        </w:rPr>
      </w:pPr>
      <w:r>
        <w:rPr>
          <w:rFonts w:hint="eastAsia" w:ascii="方正小标宋简体" w:hAnsi="黑体" w:eastAsia="方正小标宋简体" w:cs="仿宋_GB2312"/>
          <w:bCs/>
          <w:sz w:val="44"/>
          <w:szCs w:val="44"/>
        </w:rPr>
        <w:t>南明区山景苑项目调规新增地块（A地块)</w:t>
      </w:r>
      <w:r>
        <w:rPr>
          <w:rFonts w:hint="eastAsia" w:ascii="方正小标宋简体" w:hAnsi="黑体" w:eastAsia="方正小标宋简体" w:cs="仿宋_GB2312"/>
          <w:sz w:val="44"/>
          <w:szCs w:val="44"/>
        </w:rPr>
        <w:t>国有土地上</w:t>
      </w:r>
      <w:r>
        <w:rPr>
          <w:rFonts w:hint="eastAsia" w:ascii="方正小标宋简体" w:hAnsi="仿宋_GB2312" w:eastAsia="方正小标宋简体" w:cs="仿宋_GB2312"/>
          <w:sz w:val="44"/>
          <w:szCs w:val="44"/>
        </w:rPr>
        <w:t>房屋征收补助方案</w:t>
      </w:r>
    </w:p>
    <w:p>
      <w:pPr>
        <w:spacing w:line="520" w:lineRule="exact"/>
        <w:jc w:val="center"/>
        <w:rPr>
          <w:rFonts w:hint="eastAsia" w:ascii="仿宋_GB2312" w:hAnsi="仿宋_GB2312" w:eastAsia="仿宋_GB2312" w:cs="仿宋_GB2312"/>
          <w:sz w:val="44"/>
          <w:szCs w:val="44"/>
        </w:rPr>
      </w:pPr>
    </w:p>
    <w:p>
      <w:pPr>
        <w:numPr>
          <w:ilvl w:val="0"/>
          <w:numId w:val="1"/>
        </w:numPr>
        <w:adjustRightInd w:val="0"/>
        <w:snapToGrid w:val="0"/>
        <w:spacing w:line="530" w:lineRule="exact"/>
        <w:ind w:left="210" w:leftChars="100"/>
        <w:jc w:val="left"/>
        <w:rPr>
          <w:rFonts w:hint="eastAsia" w:ascii="仿宋_GB2312" w:hAnsi="仿宋_GB2312" w:eastAsia="仿宋_GB2312" w:cs="仿宋_GB2312"/>
          <w:b/>
          <w:sz w:val="32"/>
          <w:szCs w:val="32"/>
        </w:rPr>
      </w:pPr>
      <w:bookmarkStart w:id="0" w:name="OLE_LINK1"/>
      <w:r>
        <w:rPr>
          <w:rFonts w:hint="eastAsia" w:ascii="仿宋_GB2312" w:hAnsi="仿宋_GB2312" w:eastAsia="仿宋_GB2312" w:cs="仿宋_GB2312"/>
          <w:b/>
          <w:sz w:val="32"/>
          <w:szCs w:val="32"/>
        </w:rPr>
        <w:t>被征收人在本项目征收公告确定的签约期限内签约或搬迁交房的，征收部门给予被征收人以下方式补助：</w:t>
      </w:r>
      <w:bookmarkEnd w:id="0"/>
    </w:p>
    <w:p>
      <w:pPr>
        <w:spacing w:line="53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人在征收签约期限内签约的，征收部门按被征收房屋评估单价的30%乘以被征收房屋合法建筑面积给予被征收人一次性货币补助。对房屋权属证书载明用途为住宅或经合法性认定为合法住宅的房屋，被征收房屋建筑面积小于45平方米的，不足45平方米部分按照被征收房屋评估单价的40%给予补助。</w:t>
      </w:r>
    </w:p>
    <w:p>
      <w:pPr>
        <w:numPr>
          <w:ilvl w:val="0"/>
          <w:numId w:val="1"/>
        </w:numPr>
        <w:adjustRightInd w:val="0"/>
        <w:snapToGrid w:val="0"/>
        <w:spacing w:line="530" w:lineRule="exact"/>
        <w:ind w:left="210" w:left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被征收人在本项目征收公告确定的签约期限内签约或搬迁交房的，征收部门给予被征收人无证自建房以下工料补助：</w:t>
      </w:r>
    </w:p>
    <w:p>
      <w:pPr>
        <w:spacing w:line="530" w:lineRule="exact"/>
        <w:ind w:firstLine="771" w:firstLineChars="2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（一）框架结构：每平方米800元；</w:t>
      </w:r>
    </w:p>
    <w:p>
      <w:pPr>
        <w:spacing w:line="530" w:lineRule="exact"/>
        <w:ind w:firstLine="771" w:firstLineChars="2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（二）砖混结构：每平方米700元；</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（三）砖木结构：每平方米550元；</w:t>
      </w:r>
    </w:p>
    <w:p>
      <w:pPr>
        <w:spacing w:line="530" w:lineRule="exact"/>
        <w:ind w:firstLine="771" w:firstLineChars="2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（四）木 结 构：每平方米400元；</w:t>
      </w:r>
    </w:p>
    <w:p>
      <w:pPr>
        <w:spacing w:line="530" w:lineRule="exact"/>
        <w:ind w:firstLine="771" w:firstLineChars="2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（五）其它结构：每平方米240元。</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建房建筑面积、结构等根据测绘单位出具的测绘表或复核表进行确认。对2008年1月1日起《中华人民共和国城乡规划法》正式施行后修建的无证自建房屋一律不予工料补助。自建房修建年限可由属地办事处进行证明。</w:t>
      </w:r>
    </w:p>
    <w:p>
      <w:pPr>
        <w:numPr>
          <w:ilvl w:val="0"/>
          <w:numId w:val="1"/>
        </w:numPr>
        <w:adjustRightInd w:val="0"/>
        <w:snapToGrid w:val="0"/>
        <w:spacing w:line="530" w:lineRule="exact"/>
        <w:ind w:left="210" w:left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搬迁补助费按被征收房屋合法建筑面积补助每平方米</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10元，按一次计发</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如被征收住宅合法建筑面积不足45平方米，按45平方米计发。</w:t>
      </w:r>
    </w:p>
    <w:p>
      <w:pPr>
        <w:numPr>
          <w:ilvl w:val="0"/>
          <w:numId w:val="1"/>
        </w:numPr>
        <w:adjustRightInd w:val="0"/>
        <w:snapToGrid w:val="0"/>
        <w:spacing w:line="530" w:lineRule="exact"/>
        <w:ind w:left="210" w:left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临时安置补助费按被征收房屋合法建筑面积补助每月每平方米10元，共补助三个月。如被征收住宅合法建筑面积不足45平方米，按45平方米计发。</w:t>
      </w:r>
    </w:p>
    <w:p>
      <w:pPr>
        <w:numPr>
          <w:ilvl w:val="0"/>
          <w:numId w:val="1"/>
        </w:numPr>
        <w:adjustRightInd w:val="0"/>
        <w:snapToGrid w:val="0"/>
        <w:spacing w:line="530" w:lineRule="exact"/>
        <w:ind w:left="210" w:left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被征收人在本项目征收公告确定的签约期限内未签约又未搬迁交房的，不给予以上相关补助。</w:t>
      </w:r>
    </w:p>
    <w:p>
      <w:pPr>
        <w:numPr>
          <w:ilvl w:val="0"/>
          <w:numId w:val="1"/>
        </w:numPr>
        <w:adjustRightInd w:val="0"/>
        <w:snapToGrid w:val="0"/>
        <w:spacing w:line="530" w:lineRule="exact"/>
        <w:ind w:left="210" w:leftChars="100"/>
        <w:jc w:val="left"/>
        <w:rPr>
          <w:rFonts w:hint="eastAsia" w:ascii="仿宋_GB2312" w:hAnsi="仿宋_GB2312" w:eastAsia="仿宋_GB2312" w:cs="仿宋_GB2312"/>
          <w:b/>
          <w:sz w:val="30"/>
          <w:szCs w:val="30"/>
        </w:rPr>
      </w:pPr>
      <w:r>
        <w:rPr>
          <w:rFonts w:hint="eastAsia" w:ascii="仿宋_GB2312" w:hAnsi="仿宋_GB2312" w:eastAsia="仿宋_GB2312" w:cs="仿宋_GB2312"/>
          <w:b/>
          <w:sz w:val="32"/>
          <w:szCs w:val="32"/>
        </w:rPr>
        <w:t>本方案只适用于南明区山景苑项目调规新增地块（A地块)征收范围内国有土地上房屋征收。</w:t>
      </w:r>
    </w:p>
    <w:p>
      <w:pPr>
        <w:numPr>
          <w:ilvl w:val="0"/>
          <w:numId w:val="1"/>
        </w:numPr>
        <w:adjustRightInd w:val="0"/>
        <w:snapToGrid w:val="0"/>
        <w:spacing w:line="530" w:lineRule="exact"/>
        <w:ind w:left="210" w:left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本方案由房屋征收部门负责解释。</w:t>
      </w:r>
    </w:p>
    <w:p>
      <w:pPr>
        <w:numPr>
          <w:ilvl w:val="0"/>
          <w:numId w:val="1"/>
        </w:numPr>
        <w:adjustRightInd w:val="0"/>
        <w:snapToGrid w:val="0"/>
        <w:spacing w:line="530" w:lineRule="exact"/>
        <w:ind w:left="210" w:left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本方案未尽事宜，按国务院《国有土地上房屋征收与补偿条例》等相关法规及南明区人民政府、南明区房屋征收管理局有关文件执行。</w:t>
      </w:r>
    </w:p>
    <w:p>
      <w:pPr>
        <w:spacing w:line="520" w:lineRule="exact"/>
        <w:ind w:firstLine="633" w:firstLineChars="19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20" w:lineRule="exact"/>
        <w:ind w:right="320"/>
        <w:rPr>
          <w:rFonts w:hint="eastAsia" w:ascii="仿宋_GB2312" w:hAnsi="仿宋_GB2312" w:eastAsia="仿宋_GB2312" w:cs="仿宋_GB2312"/>
          <w:sz w:val="32"/>
          <w:szCs w:val="32"/>
        </w:rPr>
      </w:pPr>
    </w:p>
    <w:p>
      <w:pPr>
        <w:spacing w:line="520" w:lineRule="exact"/>
        <w:ind w:right="32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napToGrid w:val="0"/>
        <w:spacing w:line="520" w:lineRule="exact"/>
        <w:ind w:right="14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p>
      <w:bookmarkStart w:id="1" w:name="_GoBack"/>
      <w:bookmarkEnd w:id="1"/>
    </w:p>
    <w:sectPr>
      <w:headerReference r:id="rId3" w:type="default"/>
      <w:footerReference r:id="rId4" w:type="default"/>
      <w:footerReference r:id="rId5" w:type="even"/>
      <w:pgSz w:w="11906" w:h="16838"/>
      <w:pgMar w:top="1021" w:right="1474" w:bottom="1021" w:left="1588" w:header="851" w:footer="73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97155</wp:posOffset>
              </wp:positionV>
              <wp:extent cx="382270" cy="1714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82270" cy="171450"/>
                      </a:xfrm>
                      <a:prstGeom prst="rect">
                        <a:avLst/>
                      </a:prstGeom>
                      <a:noFill/>
                      <a:ln w="15875">
                        <a:noFill/>
                      </a:ln>
                    </wps:spPr>
                    <wps:txbx>
                      <w:txbxContent>
                        <w:p>
                          <w:pPr>
                            <w:pStyle w:val="2"/>
                            <w:jc w:val="center"/>
                          </w:pPr>
                          <w:r>
                            <w:fldChar w:fldCharType="begin"/>
                          </w:r>
                          <w:r>
                            <w:instrText xml:space="preserve"> PAGE   \* MERGEFORMAT </w:instrText>
                          </w:r>
                          <w:r>
                            <w:fldChar w:fldCharType="separate"/>
                          </w:r>
                          <w:r>
                            <w:t>- 14 -</w:t>
                          </w:r>
                          <w:r>
                            <w:fldChar w:fldCharType="end"/>
                          </w:r>
                        </w:p>
                      </w:txbxContent>
                    </wps:txbx>
                    <wps:bodyPr lIns="0" tIns="0" rIns="0" bIns="0" upright="0"/>
                  </wps:wsp>
                </a:graphicData>
              </a:graphic>
            </wp:anchor>
          </w:drawing>
        </mc:Choice>
        <mc:Fallback>
          <w:pict>
            <v:shape id="_x0000_s1026" o:spid="_x0000_s1026" o:spt="202" type="#_x0000_t202" style="position:absolute;left:0pt;margin-top:7.65pt;height:13.5pt;width:30.1pt;mso-position-horizontal:center;mso-position-horizontal-relative:margin;z-index:251658240;mso-width-relative:page;mso-height-relative:page;" filled="f" stroked="f" coordsize="21600,21600" o:gfxdata="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JPv7etUAAAAFAQAADwAA&#10;AAAAAAABACAAAAAiAAAAZHJzL2Rvd25yZXYueG1sUEsBAhQAFAAAAAgAh07iQPz+0iSnAQAALQMA&#10;AA4AAAAAAAAAAQAgAAAAJAEAAGRycy9lMm9Eb2MueG1sUEsFBgAAAAAGAAYAWQEAAD0FAAAAAA==&#10;">
              <v:fill on="f" focussize="0,0"/>
              <v:stroke on="f" weight="1.25pt"/>
              <v:imagedata o:title=""/>
              <o:lock v:ext="edit" aspectratio="f"/>
              <v:textbox inset="0mm,0mm,0mm,0mm">
                <w:txbxContent>
                  <w:p>
                    <w:pPr>
                      <w:pStyle w:val="2"/>
                      <w:jc w:val="center"/>
                    </w:pPr>
                    <w:r>
                      <w:fldChar w:fldCharType="begin"/>
                    </w:r>
                    <w:r>
                      <w:instrText xml:space="preserve"> PAGE   \* MERGEFORMAT </w:instrText>
                    </w:r>
                    <w:r>
                      <w:fldChar w:fldCharType="separate"/>
                    </w:r>
                    <w:r>
                      <w:t>- 14 -</w:t>
                    </w:r>
                    <w:r>
                      <w:fldChar w:fldCharType="end"/>
                    </w:r>
                  </w:p>
                </w:txbxContent>
              </v:textbox>
            </v:shape>
          </w:pict>
        </mc:Fallback>
      </mc:AlternateConten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separate"/>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C182B"/>
    <w:multiLevelType w:val="singleLevel"/>
    <w:tmpl w:val="706C182B"/>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005C3"/>
    <w:rsid w:val="086005B5"/>
    <w:rsid w:val="0AF70C24"/>
    <w:rsid w:val="127A4CA2"/>
    <w:rsid w:val="1A8F3595"/>
    <w:rsid w:val="1D871421"/>
    <w:rsid w:val="3F156E7D"/>
    <w:rsid w:val="58542AB2"/>
    <w:rsid w:val="6F2005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2020-10-26T06:29:00Z</dcterms:created>
  <dc:creator>WPS_1543365514</dc:creator>
  <cp:lastModifiedBy>南明区政府办</cp:lastModifiedBy>
  <cp:lastPrinted>2020-10-26T08:31:00Z</cp:lastPrinted>
  <dcterms:modified xsi:type="dcterms:W3CDTF">2020-11-26T02:35:43Z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