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885"/>
        </w:tabs>
        <w:spacing w:line="600" w:lineRule="exact"/>
        <w:jc w:val="center"/>
        <w:rPr>
          <w:rFonts w:hint="eastAsia" w:ascii="方正小标宋简体" w:hAnsi="黑体" w:eastAsia="方正小标宋简体" w:cs="黑体"/>
          <w:color w:val="000000"/>
          <w:sz w:val="44"/>
          <w:szCs w:val="44"/>
        </w:rPr>
      </w:pPr>
      <w:bookmarkStart w:id="1" w:name="_GoBack"/>
      <w:r>
        <w:rPr>
          <w:rFonts w:hint="eastAsia" w:ascii="方正小标宋简体" w:hAnsi="黑体" w:eastAsia="方正小标宋简体" w:cs="黑体"/>
          <w:color w:val="000000"/>
          <w:sz w:val="44"/>
          <w:szCs w:val="44"/>
        </w:rPr>
        <w:t>南明区车水路周边棚户区改造土地整理项目</w:t>
      </w:r>
    </w:p>
    <w:p>
      <w:pPr>
        <w:tabs>
          <w:tab w:val="left" w:pos="885"/>
        </w:tabs>
        <w:spacing w:line="600" w:lineRule="exact"/>
        <w:jc w:val="center"/>
        <w:rPr>
          <w:rFonts w:hint="eastAsia" w:ascii="方正小标宋简体" w:hAnsi="黑体" w:eastAsia="方正小标宋简体" w:cs="黑体"/>
          <w:sz w:val="44"/>
          <w:szCs w:val="44"/>
        </w:rPr>
      </w:pPr>
      <w:r>
        <w:rPr>
          <w:rFonts w:hint="eastAsia" w:ascii="方正小标宋简体" w:hAnsi="黑体" w:eastAsia="方正小标宋简体" w:cs="黑体"/>
          <w:sz w:val="44"/>
          <w:szCs w:val="44"/>
        </w:rPr>
        <w:t>集体土地上房屋搬迁奖励方案</w:t>
      </w:r>
    </w:p>
    <w:bookmarkEnd w:id="1"/>
    <w:p>
      <w:pPr>
        <w:spacing w:line="500" w:lineRule="exact"/>
        <w:ind w:firstLine="630" w:firstLineChars="196"/>
        <w:rPr>
          <w:rFonts w:hint="eastAsia" w:ascii="仿宋_GB2312" w:hAnsi="宋体" w:eastAsia="仿宋_GB2312"/>
          <w:b/>
          <w:sz w:val="32"/>
          <w:szCs w:val="32"/>
        </w:rPr>
      </w:pPr>
    </w:p>
    <w:p>
      <w:pPr>
        <w:spacing w:line="600" w:lineRule="exact"/>
        <w:ind w:firstLine="630" w:firstLineChars="196"/>
        <w:rPr>
          <w:rFonts w:ascii="仿宋_GB2312" w:hAnsi="宋体" w:eastAsia="仿宋_GB2312"/>
          <w:b/>
          <w:sz w:val="32"/>
          <w:szCs w:val="32"/>
        </w:rPr>
      </w:pPr>
      <w:r>
        <w:rPr>
          <w:rFonts w:hint="eastAsia" w:ascii="仿宋_GB2312" w:hAnsi="宋体" w:eastAsia="仿宋_GB2312"/>
          <w:b/>
          <w:sz w:val="32"/>
          <w:szCs w:val="32"/>
        </w:rPr>
        <w:t>一、在搬迁签约期限内签约的，给予以下</w:t>
      </w:r>
      <w:bookmarkStart w:id="0" w:name="_Hlk535524511"/>
      <w:r>
        <w:rPr>
          <w:rFonts w:hint="eastAsia" w:ascii="仿宋_GB2312" w:hAnsi="宋体" w:eastAsia="仿宋_GB2312"/>
          <w:b/>
          <w:sz w:val="32"/>
          <w:szCs w:val="32"/>
        </w:rPr>
        <w:t>一次性</w:t>
      </w:r>
      <w:bookmarkEnd w:id="0"/>
      <w:r>
        <w:rPr>
          <w:rFonts w:hint="eastAsia" w:ascii="仿宋_GB2312" w:hAnsi="宋体" w:eastAsia="仿宋_GB2312"/>
          <w:b/>
          <w:sz w:val="32"/>
          <w:szCs w:val="32"/>
        </w:rPr>
        <w:t>奖励：</w:t>
      </w:r>
    </w:p>
    <w:p>
      <w:pPr>
        <w:spacing w:line="600" w:lineRule="exact"/>
        <w:ind w:firstLine="480" w:firstLineChars="15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（一）签约奖励：20000元；</w:t>
      </w:r>
    </w:p>
    <w:p>
      <w:pPr>
        <w:spacing w:line="600" w:lineRule="exact"/>
        <w:ind w:firstLine="480" w:firstLineChars="15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（二）搬迁交房奖励：30000元；</w:t>
      </w:r>
    </w:p>
    <w:p>
      <w:pPr>
        <w:spacing w:line="600" w:lineRule="exact"/>
        <w:ind w:firstLine="480" w:firstLineChars="15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（三）无证自建房工料奖励（已安置部分不再给予该奖励）：</w:t>
      </w:r>
    </w:p>
    <w:p>
      <w:pPr>
        <w:spacing w:line="600" w:lineRule="exact"/>
        <w:ind w:firstLine="630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1.</w:t>
      </w:r>
      <w:r>
        <w:rPr>
          <w:rFonts w:hint="eastAsia" w:ascii="仿宋_GB2312" w:hAnsi="宋体" w:eastAsia="仿宋_GB2312"/>
          <w:sz w:val="32"/>
          <w:szCs w:val="32"/>
        </w:rPr>
        <w:tab/>
      </w:r>
      <w:r>
        <w:rPr>
          <w:rFonts w:hint="eastAsia" w:ascii="仿宋_GB2312" w:hAnsi="宋体" w:eastAsia="仿宋_GB2312"/>
          <w:sz w:val="32"/>
          <w:szCs w:val="32"/>
        </w:rPr>
        <w:t>框架结构：每平方米800元；</w:t>
      </w:r>
    </w:p>
    <w:p>
      <w:pPr>
        <w:spacing w:line="600" w:lineRule="exact"/>
        <w:ind w:firstLine="630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2.</w:t>
      </w:r>
      <w:r>
        <w:rPr>
          <w:rFonts w:hint="eastAsia" w:ascii="仿宋_GB2312" w:hAnsi="宋体" w:eastAsia="仿宋_GB2312"/>
          <w:sz w:val="32"/>
          <w:szCs w:val="32"/>
        </w:rPr>
        <w:tab/>
      </w:r>
      <w:r>
        <w:rPr>
          <w:rFonts w:hint="eastAsia" w:ascii="仿宋_GB2312" w:hAnsi="宋体" w:eastAsia="仿宋_GB2312"/>
          <w:sz w:val="32"/>
          <w:szCs w:val="32"/>
        </w:rPr>
        <w:t>砖混结构：每平方米700元；</w:t>
      </w:r>
    </w:p>
    <w:p>
      <w:pPr>
        <w:spacing w:line="600" w:lineRule="exact"/>
        <w:ind w:firstLine="630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3.</w:t>
      </w:r>
      <w:r>
        <w:rPr>
          <w:rFonts w:hint="eastAsia" w:ascii="仿宋_GB2312" w:hAnsi="宋体" w:eastAsia="仿宋_GB2312"/>
          <w:sz w:val="32"/>
          <w:szCs w:val="32"/>
        </w:rPr>
        <w:tab/>
      </w:r>
      <w:r>
        <w:rPr>
          <w:rFonts w:hint="eastAsia" w:ascii="仿宋_GB2312" w:hAnsi="宋体" w:eastAsia="仿宋_GB2312"/>
          <w:sz w:val="32"/>
          <w:szCs w:val="32"/>
        </w:rPr>
        <w:t>砖木结构：每平方米550元；</w:t>
      </w:r>
    </w:p>
    <w:p>
      <w:pPr>
        <w:spacing w:line="600" w:lineRule="exact"/>
        <w:ind w:firstLine="630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4.</w:t>
      </w:r>
      <w:r>
        <w:rPr>
          <w:rFonts w:hint="eastAsia" w:ascii="仿宋_GB2312" w:hAnsi="宋体" w:eastAsia="仿宋_GB2312"/>
          <w:sz w:val="32"/>
          <w:szCs w:val="32"/>
        </w:rPr>
        <w:tab/>
      </w:r>
      <w:r>
        <w:rPr>
          <w:rFonts w:hint="eastAsia" w:ascii="仿宋_GB2312" w:hAnsi="宋体" w:eastAsia="仿宋_GB2312"/>
          <w:sz w:val="32"/>
          <w:szCs w:val="32"/>
        </w:rPr>
        <w:t>木 结 构：每平方米400元；</w:t>
      </w:r>
    </w:p>
    <w:p>
      <w:pPr>
        <w:spacing w:line="600" w:lineRule="exact"/>
        <w:ind w:firstLine="63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5.</w:t>
      </w:r>
      <w:r>
        <w:rPr>
          <w:rFonts w:hint="eastAsia" w:ascii="仿宋_GB2312" w:hAnsi="宋体" w:eastAsia="仿宋_GB2312"/>
          <w:sz w:val="32"/>
          <w:szCs w:val="32"/>
        </w:rPr>
        <w:tab/>
      </w:r>
      <w:r>
        <w:rPr>
          <w:rFonts w:hint="eastAsia" w:ascii="仿宋_GB2312" w:hAnsi="宋体" w:eastAsia="仿宋_GB2312"/>
          <w:sz w:val="32"/>
          <w:szCs w:val="32"/>
        </w:rPr>
        <w:t>其它结构：每平方米240元。</w:t>
      </w:r>
    </w:p>
    <w:p>
      <w:pPr>
        <w:spacing w:line="600" w:lineRule="exact"/>
        <w:ind w:firstLine="63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自建房建筑面积、结构等根据测绘单位出具的测绘表或复核表进行确认。</w:t>
      </w:r>
      <w:r>
        <w:rPr>
          <w:rFonts w:hint="eastAsia" w:ascii="仿宋_GB2312" w:hAnsi="宋体" w:eastAsia="仿宋_GB2312"/>
          <w:sz w:val="32"/>
          <w:szCs w:val="32"/>
        </w:rPr>
        <w:t>对2008年1月1日起正式施行《中华人民共和国城乡规划法》后修建的无证自建房屋一律不予奖励。无证自建房的修建年限可由属地村出具证明，乡专项审查工作小组进行核实。</w:t>
      </w:r>
    </w:p>
    <w:p>
      <w:pPr>
        <w:spacing w:line="600" w:lineRule="exact"/>
        <w:ind w:firstLine="630" w:firstLineChars="196"/>
        <w:rPr>
          <w:rFonts w:ascii="仿宋_GB2312" w:hAnsi="宋体" w:eastAsia="仿宋_GB2312"/>
          <w:b/>
          <w:sz w:val="32"/>
          <w:szCs w:val="32"/>
        </w:rPr>
      </w:pPr>
      <w:r>
        <w:rPr>
          <w:rFonts w:hint="eastAsia" w:ascii="仿宋_GB2312" w:hAnsi="宋体" w:eastAsia="仿宋_GB2312"/>
          <w:b/>
          <w:sz w:val="32"/>
          <w:szCs w:val="32"/>
        </w:rPr>
        <w:t>二、被搬迁人超过本项目搬迁公告规定的签约期限内</w:t>
      </w:r>
      <w:r>
        <w:rPr>
          <w:rFonts w:hint="eastAsia" w:ascii="仿宋_GB2312" w:hAnsi="仿宋_GB2312" w:eastAsia="仿宋_GB2312" w:cs="仿宋_GB2312"/>
          <w:b/>
          <w:sz w:val="32"/>
          <w:szCs w:val="32"/>
        </w:rPr>
        <w:t>未签约的</w:t>
      </w:r>
      <w:r>
        <w:rPr>
          <w:rFonts w:hint="eastAsia" w:ascii="仿宋_GB2312" w:hAnsi="宋体" w:eastAsia="仿宋_GB2312"/>
          <w:b/>
          <w:sz w:val="32"/>
          <w:szCs w:val="32"/>
        </w:rPr>
        <w:t>，不给予以上任何奖励。</w:t>
      </w:r>
    </w:p>
    <w:p>
      <w:pPr>
        <w:spacing w:line="600" w:lineRule="exact"/>
        <w:ind w:firstLine="630" w:firstLineChars="196"/>
        <w:rPr>
          <w:rFonts w:ascii="仿宋_GB2312" w:hAnsi="宋体" w:eastAsia="仿宋_GB2312"/>
          <w:b/>
          <w:sz w:val="32"/>
          <w:szCs w:val="32"/>
        </w:rPr>
      </w:pPr>
      <w:r>
        <w:rPr>
          <w:rFonts w:hint="eastAsia" w:ascii="仿宋_GB2312" w:hAnsi="宋体" w:eastAsia="仿宋_GB2312"/>
          <w:b/>
          <w:sz w:val="32"/>
          <w:szCs w:val="32"/>
        </w:rPr>
        <w:t>三、本方案只适用于</w:t>
      </w:r>
      <w:r>
        <w:rPr>
          <w:rFonts w:hint="eastAsia" w:ascii="仿宋_GB2312" w:eastAsia="仿宋_GB2312"/>
          <w:b/>
          <w:bCs/>
          <w:sz w:val="32"/>
          <w:szCs w:val="32"/>
        </w:rPr>
        <w:t>南明区车水路周边棚户区改造土地整理项目</w:t>
      </w:r>
      <w:r>
        <w:rPr>
          <w:rFonts w:hint="eastAsia" w:ascii="仿宋_GB2312" w:hAnsi="宋体" w:eastAsia="仿宋_GB2312"/>
          <w:b/>
          <w:sz w:val="32"/>
          <w:szCs w:val="32"/>
        </w:rPr>
        <w:t>搬迁范围内</w:t>
      </w:r>
      <w:r>
        <w:rPr>
          <w:rFonts w:hint="eastAsia" w:ascii="仿宋_GB2312" w:hAnsi="宋体" w:eastAsia="仿宋_GB2312"/>
          <w:b/>
          <w:spacing w:val="-20"/>
          <w:sz w:val="32"/>
          <w:szCs w:val="32"/>
        </w:rPr>
        <w:t>集体土地上房屋</w:t>
      </w:r>
      <w:r>
        <w:rPr>
          <w:rFonts w:hint="eastAsia" w:ascii="仿宋_GB2312" w:hAnsi="宋体" w:eastAsia="仿宋_GB2312"/>
          <w:b/>
          <w:sz w:val="32"/>
          <w:szCs w:val="32"/>
        </w:rPr>
        <w:t>搬迁。</w:t>
      </w:r>
    </w:p>
    <w:p>
      <w:pPr>
        <w:spacing w:line="600" w:lineRule="exact"/>
        <w:ind w:firstLine="630" w:firstLineChars="196"/>
        <w:rPr>
          <w:rFonts w:hint="eastAsia" w:ascii="仿宋_GB2312" w:hAnsi="宋体" w:eastAsia="仿宋_GB2312"/>
          <w:b/>
          <w:sz w:val="32"/>
          <w:szCs w:val="32"/>
        </w:rPr>
      </w:pPr>
      <w:r>
        <w:rPr>
          <w:rFonts w:hint="eastAsia" w:ascii="仿宋_GB2312" w:hAnsi="宋体" w:eastAsia="仿宋_GB2312"/>
          <w:b/>
          <w:sz w:val="32"/>
          <w:szCs w:val="32"/>
        </w:rPr>
        <w:t>四、本方案由</w:t>
      </w:r>
      <w:r>
        <w:rPr>
          <w:rFonts w:hint="eastAsia" w:ascii="仿宋_GB2312" w:hAnsi="仿宋_GB2312" w:eastAsia="仿宋_GB2312" w:cs="仿宋_GB2312"/>
          <w:b/>
          <w:sz w:val="32"/>
          <w:szCs w:val="32"/>
        </w:rPr>
        <w:t>搬迁实施单位</w:t>
      </w:r>
      <w:r>
        <w:rPr>
          <w:rFonts w:hint="eastAsia" w:ascii="仿宋_GB2312" w:hAnsi="宋体" w:eastAsia="仿宋_GB2312"/>
          <w:b/>
          <w:sz w:val="32"/>
          <w:szCs w:val="32"/>
        </w:rPr>
        <w:t>负责解释。</w:t>
      </w:r>
    </w:p>
    <w:p>
      <w:pPr>
        <w:snapToGrid w:val="0"/>
        <w:spacing w:line="600" w:lineRule="exact"/>
        <w:ind w:firstLine="643" w:firstLineChars="200"/>
        <w:rPr>
          <w:rFonts w:hint="eastAsia"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>五、本方案未尽事宜，按照相关法规及南明区人民政府有关文件执行。</w:t>
      </w:r>
    </w:p>
    <w:p>
      <w:pPr>
        <w:snapToGrid w:val="0"/>
        <w:spacing w:line="600" w:lineRule="exact"/>
        <w:ind w:firstLine="643" w:firstLineChars="200"/>
        <w:rPr>
          <w:rFonts w:hint="eastAsia" w:ascii="仿宋_GB2312" w:hAnsi="仿宋_GB2312" w:eastAsia="仿宋_GB2312" w:cs="仿宋_GB2312"/>
          <w:b/>
          <w:sz w:val="32"/>
          <w:szCs w:val="32"/>
        </w:rPr>
      </w:pPr>
    </w:p>
    <w:p>
      <w:pPr>
        <w:snapToGrid w:val="0"/>
        <w:spacing w:line="600" w:lineRule="exact"/>
        <w:ind w:firstLine="643" w:firstLineChars="200"/>
        <w:rPr>
          <w:rFonts w:hint="eastAsia" w:ascii="仿宋_GB2312" w:hAnsi="仿宋_GB2312" w:eastAsia="仿宋_GB2312" w:cs="仿宋_GB2312"/>
          <w:b/>
          <w:sz w:val="32"/>
          <w:szCs w:val="32"/>
        </w:rPr>
      </w:pPr>
    </w:p>
    <w:p>
      <w:pPr>
        <w:snapToGrid w:val="0"/>
        <w:spacing w:line="600" w:lineRule="exact"/>
        <w:ind w:firstLine="643" w:firstLineChars="200"/>
        <w:rPr>
          <w:rFonts w:hint="eastAsia" w:ascii="仿宋_GB2312" w:hAnsi="仿宋_GB2312" w:eastAsia="仿宋_GB2312" w:cs="仿宋_GB2312"/>
          <w:b/>
          <w:sz w:val="32"/>
          <w:szCs w:val="32"/>
        </w:rPr>
      </w:pPr>
    </w:p>
    <w:p>
      <w:pPr>
        <w:snapToGrid w:val="0"/>
        <w:spacing w:line="600" w:lineRule="exact"/>
        <w:ind w:firstLine="640" w:firstLineChars="200"/>
        <w:rPr>
          <w:rFonts w:hint="eastAsia" w:ascii="仿宋_GB2312" w:eastAsia="仿宋_GB2312"/>
          <w:color w:val="00B0F0"/>
          <w:sz w:val="32"/>
        </w:rPr>
      </w:pPr>
      <w:r>
        <w:rPr>
          <w:rFonts w:hint="eastAsia" w:ascii="仿宋_GB2312" w:hAnsi="仿宋" w:eastAsia="仿宋_GB2312"/>
          <w:sz w:val="32"/>
          <w:szCs w:val="32"/>
        </w:rPr>
        <w:t xml:space="preserve">                             2020</w:t>
      </w:r>
      <w:r>
        <w:rPr>
          <w:rFonts w:hint="eastAsia" w:ascii="仿宋_GB2312" w:hAnsi="仿宋" w:eastAsia="仿宋_GB2312" w:cs="仿宋_GB2312"/>
          <w:sz w:val="32"/>
          <w:szCs w:val="32"/>
        </w:rPr>
        <w:t>年9月15</w:t>
      </w:r>
      <w:r>
        <w:rPr>
          <w:rFonts w:hint="eastAsia" w:ascii="仿宋_GB2312" w:hAnsi="仿宋" w:eastAsia="仿宋_GB2312"/>
          <w:sz w:val="32"/>
          <w:szCs w:val="32"/>
        </w:rPr>
        <w:t>日</w:t>
      </w:r>
    </w:p>
    <w:p/>
    <w:sectPr>
      <w:headerReference r:id="rId3" w:type="default"/>
      <w:footerReference r:id="rId4" w:type="default"/>
      <w:footerReference r:id="rId5" w:type="even"/>
      <w:pgSz w:w="11906" w:h="16838"/>
      <w:pgMar w:top="2098" w:right="1531" w:bottom="1531" w:left="1531" w:header="737" w:footer="737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Segoe UI Symbol">
    <w:panose1 w:val="020B0502040204020203"/>
    <w:charset w:val="00"/>
    <w:family w:val="swiss"/>
    <w:pitch w:val="default"/>
    <w:sig w:usb0="8000006F" w:usb1="1200FBEF" w:usb2="0064C000" w:usb3="00000002" w:csb0="00000001" w:csb1="4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6"/>
      </w:rPr>
    </w:pPr>
    <w:r>
      <w:fldChar w:fldCharType="begin"/>
    </w:r>
    <w:r>
      <w:rPr>
        <w:rStyle w:val="6"/>
      </w:rPr>
      <w:instrText xml:space="preserve">PAGE  </w:instrText>
    </w:r>
    <w:r>
      <w:fldChar w:fldCharType="separate"/>
    </w:r>
    <w:r>
      <w:rPr>
        <w:rStyle w:val="6"/>
      </w:rPr>
      <w:t>- 6 -</w:t>
    </w:r>
    <w:r>
      <w:fldChar w:fldCharType="end"/>
    </w:r>
  </w:p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6"/>
      </w:rPr>
    </w:pPr>
    <w:r>
      <w:fldChar w:fldCharType="begin"/>
    </w:r>
    <w:r>
      <w:rPr>
        <w:rStyle w:val="6"/>
      </w:rPr>
      <w:instrText xml:space="preserve">PAGE  </w:instrText>
    </w:r>
    <w:r>
      <w:fldChar w:fldCharType="separate"/>
    </w:r>
    <w:r>
      <w:fldChar w:fldCharType="end"/>
    </w:r>
  </w:p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4B6"/>
    <w:rsid w:val="002C7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微软雅黑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character" w:styleId="6">
    <w:name w:val="page number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Office_11.8.6.8811_F1E327BC-269C-435d-A152-05C5408002CA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2020-09-28T03:49:00Z</dcterms:created>
  <dc:creator>陈明春</dc:creator>
  <cp:lastModifiedBy>陈明春</cp:lastModifiedBy>
  <dcterms:modified xsi:type="dcterms:W3CDTF">2020-09-28T03:51:34Z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2052-11.8.6.8811</vt:lpwstr>
  </property>
</Properties>
</file>