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064D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2025年贵阳市乌当区烟草制品零售点合理布局规定解读说明</w:t>
      </w:r>
    </w:p>
    <w:p w14:paraId="241BC509">
      <w:pPr>
        <w:rPr>
          <w:rFonts w:hint="eastAsia" w:ascii="宋体" w:hAnsi="宋体" w:cs="仿宋_GB2312"/>
          <w:b/>
          <w:sz w:val="32"/>
          <w:szCs w:val="32"/>
          <w:lang w:val="zh-CN"/>
        </w:rPr>
      </w:pPr>
    </w:p>
    <w:p w14:paraId="2E38E7D0">
      <w:pPr>
        <w:ind w:firstLine="640" w:firstLineChars="200"/>
        <w:rPr>
          <w:rFonts w:hint="eastAsia" w:ascii="黑体" w:hAnsi="黑体" w:eastAsia="黑体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为规范烟草专卖品零售市场秩序，合理配置烟草专卖品零售市场资源，根据《中华人民共和国行政许可法》《中华人民共和国未成年人保护法》《中华人民共和国烟草专卖法及其实施条例、《烟草专卖许可证管理办法》及其实施细则等法律法规、规章及规范性文件，贵阳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乌当区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烟草专卖局研究制定了《贵阳市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乌当区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烟草制品零售点合理布局规定(征求意见稿)》(以下简称《意见稿》)。</w:t>
      </w:r>
    </w:p>
    <w:p w14:paraId="42716787">
      <w:pPr>
        <w:ind w:firstLine="643" w:firstLineChars="200"/>
        <w:rPr>
          <w:rFonts w:hint="eastAsia" w:ascii="黑体" w:hAnsi="黑体" w:eastAsia="黑体" w:cs="仿宋_GB2312"/>
          <w:b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b/>
          <w:sz w:val="32"/>
          <w:szCs w:val="32"/>
          <w:lang w:val="zh-CN"/>
        </w:rPr>
        <w:t>一、制定目的</w:t>
      </w:r>
    </w:p>
    <w:p w14:paraId="5B2DCF5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于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日起施行</w:t>
      </w:r>
      <w:r>
        <w:rPr>
          <w:rFonts w:hint="eastAsia" w:ascii="仿宋_GB2312" w:eastAsia="仿宋_GB2312"/>
          <w:sz w:val="32"/>
          <w:szCs w:val="32"/>
        </w:rPr>
        <w:t>的《</w:t>
      </w:r>
      <w:r>
        <w:rPr>
          <w:rFonts w:hint="eastAsia" w:ascii="仿宋_GB2312" w:hAnsi="方正小标宋简体" w:eastAsia="仿宋_GB2312"/>
          <w:bCs/>
          <w:color w:val="000000"/>
          <w:sz w:val="32"/>
          <w:szCs w:val="32"/>
        </w:rPr>
        <w:t>贵州省贵阳市乌当区烟草制品零售点合理布局规定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乌烟专〔2024〕3号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，部分条款已不适应辖区烟草市场发展需求。为规范和加强烟草制品零售点布局管理，合理配置市场资源，建立良好烟草制品零售市场秩序，更好保护未成年人、消费者和经营者合法权益，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落实“放管服”改革要求和“健康中国”战略部署，努力营造良好营商环境和市场秩序，切实维护国家利益和消费者利益。不断增强依法行政能力，提高管理服务质量，优化零售点布局，促进烟草零售业良性发展，推动乌当区烟草专卖行政许可管理水平持续提升。</w:t>
      </w:r>
      <w:r>
        <w:rPr>
          <w:rFonts w:hint="eastAsia" w:ascii="仿宋_GB2312" w:hAnsi="宋体" w:eastAsia="仿宋_GB2312"/>
          <w:sz w:val="32"/>
          <w:szCs w:val="32"/>
        </w:rPr>
        <w:t>结合乌当区</w:t>
      </w:r>
      <w:r>
        <w:rPr>
          <w:rFonts w:hint="eastAsia" w:ascii="仿宋_GB2312" w:hAnsi="仿宋_GB2312" w:eastAsia="仿宋_GB2312" w:cs="仿宋_GB2312"/>
          <w:sz w:val="32"/>
          <w:szCs w:val="32"/>
        </w:rPr>
        <w:t>域实际，制定《贵阳市乌当区烟草制品零售点合理布局规定（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）》。</w:t>
      </w:r>
    </w:p>
    <w:p w14:paraId="0C552C04">
      <w:pPr>
        <w:spacing w:line="580" w:lineRule="exact"/>
        <w:ind w:firstLine="643" w:firstLineChars="200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二、制定法律法规依据</w:t>
      </w:r>
    </w:p>
    <w:p w14:paraId="4BABE5A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《中华人民共和国行政许可法》</w:t>
      </w:r>
    </w:p>
    <w:p w14:paraId="5333897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《中华人民共和国烟草专卖法》</w:t>
      </w:r>
    </w:p>
    <w:p w14:paraId="2C75C72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《中华人民共和国未成年人保护法》</w:t>
      </w:r>
    </w:p>
    <w:p w14:paraId="7FAADB3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《中华人民共和国烟草专卖法实施条例》</w:t>
      </w:r>
    </w:p>
    <w:p w14:paraId="2785F56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《烟草专卖许可证管理办法》</w:t>
      </w:r>
    </w:p>
    <w:p w14:paraId="5060AE7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《烟草专卖许可证管理办法实施细则》</w:t>
      </w:r>
    </w:p>
    <w:p w14:paraId="1A0E6CE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《贵州省行政规范性文件制定和监督管理规定》</w:t>
      </w:r>
    </w:p>
    <w:p w14:paraId="6EC8696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（八）贵州省行政规范性文件制定和监督管理规定》(省政府20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号令)</w:t>
      </w:r>
    </w:p>
    <w:p w14:paraId="2B8BE6B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（九）</w:t>
      </w:r>
      <w:r>
        <w:rPr>
          <w:rFonts w:hint="eastAsia" w:ascii="仿宋_GB2312" w:eastAsia="仿宋_GB2312"/>
          <w:spacing w:val="-4"/>
          <w:sz w:val="32"/>
          <w:szCs w:val="32"/>
        </w:rPr>
        <w:t>《国家烟草专卖局办公室关于</w:t>
      </w:r>
      <w:r>
        <w:rPr>
          <w:rFonts w:hint="eastAsia" w:ascii="仿宋_GB2312" w:eastAsia="仿宋_GB2312"/>
          <w:sz w:val="32"/>
          <w:szCs w:val="32"/>
        </w:rPr>
        <w:t>进一步做好“放管服”改革相关专卖管理工作的通知》（ 国烟办综〔2017〕568号）</w:t>
      </w:r>
    </w:p>
    <w:p w14:paraId="0F77432F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（十）《烟草专卖许可证管理办法实施细则》（国烟法〔2020〕205号）</w:t>
      </w:r>
    </w:p>
    <w:p w14:paraId="53ECA683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（十一）</w:t>
      </w:r>
      <w:bookmarkStart w:id="0" w:name="filetitle"/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贵州省烟草专卖局关于印发烟草专卖行政执法相关工作制度的通知</w:t>
      </w:r>
      <w:bookmarkEnd w:id="0"/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》（黔烟法〔2019〕3号）</w:t>
      </w:r>
    </w:p>
    <w:p w14:paraId="7FDC93A2">
      <w:pPr>
        <w:spacing w:line="580" w:lineRule="exac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    （十二）《贵州省烟草专卖局关于进一步加强行政许可审批服务的通知》（黔烟专〔2019〕1号）</w:t>
      </w:r>
    </w:p>
    <w:p w14:paraId="7480798A">
      <w:pPr>
        <w:spacing w:line="580" w:lineRule="exact"/>
        <w:rPr>
          <w:rFonts w:hint="eastAsia" w:ascii="仿宋_GB2312" w:eastAsia="仿宋_GB2312" w:cs="Arial"/>
          <w:b/>
          <w:bCs/>
          <w:sz w:val="32"/>
          <w:szCs w:val="32"/>
        </w:rPr>
      </w:pPr>
      <w:r>
        <w:rPr>
          <w:rStyle w:val="6"/>
          <w:rFonts w:hint="eastAsia"/>
          <w:color w:val="000000"/>
          <w:szCs w:val="32"/>
        </w:rPr>
        <w:t xml:space="preserve">    （十三）《贵州省烟草专卖局关于制定烟草制品零售点布局规划的指导意见》（黔烟专〔2020〕2号）</w:t>
      </w:r>
    </w:p>
    <w:p w14:paraId="5D3FB02C"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三、主要内容概要：</w:t>
      </w:r>
    </w:p>
    <w:p w14:paraId="666B0C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《贵阳市乌当区烟草制品零售点合理布局规定（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eastAsia="仿宋_GB2312"/>
          <w:sz w:val="32"/>
          <w:szCs w:val="32"/>
        </w:rPr>
        <w:t>按照依法行政、放管结合、分类施策、服务社会、总体可控的原则，根据乌当辖区内</w:t>
      </w:r>
      <w:r>
        <w:rPr>
          <w:rFonts w:hint="eastAsia" w:ascii="仿宋_GB2312" w:eastAsia="仿宋_GB2312"/>
          <w:sz w:val="32"/>
          <w:szCs w:val="32"/>
          <w:lang w:eastAsia="zh-CN"/>
        </w:rPr>
        <w:t>乡镇分布</w:t>
      </w:r>
      <w:r>
        <w:rPr>
          <w:rFonts w:hint="eastAsia" w:ascii="仿宋_GB2312" w:eastAsia="仿宋_GB2312"/>
          <w:sz w:val="32"/>
          <w:szCs w:val="32"/>
        </w:rPr>
        <w:t>、交通状况、经济发展水平、消费能力等因素，按照一般区域采用</w:t>
      </w:r>
      <w:r>
        <w:rPr>
          <w:rFonts w:hint="eastAsia" w:ascii="仿宋_GB2312" w:eastAsia="仿宋_GB2312"/>
          <w:sz w:val="32"/>
          <w:szCs w:val="32"/>
          <w:lang w:eastAsia="zh-CN"/>
        </w:rPr>
        <w:t>总量加距离</w:t>
      </w:r>
      <w:r>
        <w:rPr>
          <w:rFonts w:hint="eastAsia" w:ascii="仿宋_GB2312" w:eastAsia="仿宋_GB2312"/>
          <w:sz w:val="32"/>
          <w:szCs w:val="32"/>
        </w:rPr>
        <w:t>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特殊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区域采用总量控制模式进行烟草制品零售点的合理布局规划。依据国家、行业法律法规规章对中小学校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附近及其他不予行政许可的情形进行限制，对弱势群体申办进行扶持。《贵阳市乌当区烟草制品零售点合理布局规定（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）》以满足社会需要、零售户规范经营、市场秩序良好为目标，充分考虑新兴市场的出现及辖区经济发展需求，确保合理布局规划与时俱进。</w:t>
      </w:r>
    </w:p>
    <w:p w14:paraId="38EDABC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主要调整条款：</w:t>
      </w:r>
    </w:p>
    <w:p w14:paraId="2C8E9A5E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调整现行规定中“原地址经营两年以上办证优惠条件”。</w:t>
      </w:r>
    </w:p>
    <w:p w14:paraId="4301789D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调整行规定中“中小学、幼儿园周边及拆迁等行为主动放弃经营”换地址申请优惠条件。</w:t>
      </w:r>
    </w:p>
    <w:p w14:paraId="2395601C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取消“业态”区分限制条件。</w:t>
      </w:r>
    </w:p>
    <w:p w14:paraId="3E92CF45">
      <w:pPr>
        <w:numPr>
          <w:ilvl w:val="0"/>
          <w:numId w:val="0"/>
        </w:numPr>
        <w:ind w:leftChars="200" w:firstLine="320" w:firstLineChars="1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四、增加“全封闭高速公路服务区办证不受限制”条款。</w:t>
      </w:r>
    </w:p>
    <w:p w14:paraId="643766BF">
      <w:pPr>
        <w:ind w:firstLine="960" w:firstLineChars="300"/>
        <w:jc w:val="right"/>
        <w:rPr>
          <w:rFonts w:hint="eastAsia" w:ascii="仿宋_GB2312" w:hAnsi="宋体" w:eastAsia="仿宋_GB2312"/>
          <w:sz w:val="32"/>
          <w:szCs w:val="32"/>
        </w:rPr>
      </w:pPr>
    </w:p>
    <w:p w14:paraId="664C6DB4"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>贵阳市乌当区烟草专卖局</w:t>
      </w:r>
    </w:p>
    <w:p w14:paraId="74248922">
      <w:pPr>
        <w:ind w:right="800" w:firstLine="960" w:firstLineChars="3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ascii="仿宋_GB2312" w:hAnsi="宋体" w:eastAsia="仿宋_GB2312"/>
          <w:sz w:val="32"/>
          <w:szCs w:val="32"/>
        </w:rPr>
        <w:t>日</w:t>
      </w:r>
    </w:p>
    <w:p w14:paraId="50B5BF64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072AE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67696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89D8ACE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717D0"/>
    <w:multiLevelType w:val="singleLevel"/>
    <w:tmpl w:val="C73717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5CBB"/>
    <w:multiLevelType w:val="singleLevel"/>
    <w:tmpl w:val="73795C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style3"/>
    <w:uiPriority w:val="0"/>
    <w:rPr>
      <w:rFonts w:ascii="仿宋_GB2312" w:eastAsia="仿宋_GB2312"/>
      <w:snapToGrid w:val="0"/>
      <w:spacing w:val="0"/>
      <w:w w:val="1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2025-08-20T08:41:08Z</dcterms:created>
  <dc:creator>Administrator</dc:creator>
  <cp:lastModifiedBy>彭乾</cp:lastModifiedBy>
  <dcterms:modified xsi:type="dcterms:W3CDTF">2025-08-20T08:41:12Z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eyJoZGlkIjoiNTY1ZTA1ZWY5NmIyYTgzZDk3OTljNjk5ZTMxZGU4YmUiLCJ1c2VySWQiOiI3NDM3MzU3NjAifQ==</vt:lpwstr>
  </property>
  <property fmtid="{D5CDD505-2E9C-101B-9397-08002B2CF9AE}" pid="4" name="ICV">
    <vt:lpwstr>886FAC85314443549225967DF4141DB7_12</vt:lpwstr>
  </property>
</Properties>
</file>