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附件5</w:t>
      </w:r>
    </w:p>
    <w:p>
      <w:pPr>
        <w:pStyle w:val="14"/>
        <w:keepNext w:val="0"/>
        <w:keepLines w:val="0"/>
        <w:pageBreakBefore w:val="0"/>
        <w:widowControl w:val="0"/>
        <w:kinsoku/>
        <w:wordWrap/>
        <w:overflowPunct/>
        <w:topLinePunct w:val="0"/>
        <w:autoSpaceDE/>
        <w:autoSpaceDN/>
        <w:bidi w:val="0"/>
        <w:spacing w:line="560" w:lineRule="exact"/>
        <w:ind w:firstLine="320" w:firstLineChars="100"/>
        <w:jc w:val="center"/>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乌当区2024年度全国基层农技推广体系改革与建设补助项目主推技术五</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cs="Times New Roman"/>
          <w:b/>
          <w:bCs/>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cs="Times New Roman"/>
          <w:b/>
          <w:bCs/>
          <w:sz w:val="32"/>
          <w:szCs w:val="32"/>
          <w:lang w:val="en-US" w:eastAsia="zh-CN"/>
        </w:rPr>
      </w:pPr>
      <w:r>
        <w:rPr>
          <w:rFonts w:hint="default" w:ascii="Times New Roman" w:hAnsi="Times New Roman" w:cs="Times New Roman"/>
          <w:b/>
          <w:bCs/>
          <w:sz w:val="44"/>
          <w:szCs w:val="44"/>
          <w:lang w:val="en-US" w:eastAsia="zh-CN"/>
        </w:rPr>
        <w:t>乌当区水稻生态化栽培技术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一、技术概述</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rPr>
        <w:t>2021年3月《中共贵州省委 贵州省人民政府关于全面推进乡村振兴加快农业农村现代化的实施意见》发布，目标到2025年农业基础进一步稳固，粮食和重要农产品供给能力持续增强，农业生产结构和区域布局明显优化，特色优势产业做大做强，农业质量效益和竞争力明显提升，现代乡村产业体系建设取得明显进展。农村生产生活方式绿色转型取得积极进展，化肥农药使用量持续减少，农村生态环境得到明显改善。2021年6月，为加快贵州省山地农业现代化，推进农业提质增效，建设现代山地特色高效农业强省，以产业振兴引领乡村全面振兴，省委办公厅</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省政府办公厅印发了《关于加快山地农业现代化推进农业高质量发展的实施意见》，明确提出实施农业绿色发展工程。坚持投入减量、生产清洁、循环利用，推进产业生态化、生态产业化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探索具有贵州特色的农业绿色发展模式。</w:t>
      </w:r>
      <w:r>
        <w:rPr>
          <w:rFonts w:hint="default" w:ascii="Times New Roman" w:hAnsi="Times New Roman" w:eastAsia="仿宋_GB2312" w:cs="Times New Roman"/>
          <w:sz w:val="32"/>
          <w:szCs w:val="32"/>
        </w:rPr>
        <w:t>为进一步推动乌当区</w:t>
      </w:r>
      <w:r>
        <w:rPr>
          <w:rFonts w:hint="default" w:ascii="Times New Roman" w:hAnsi="Times New Roman" w:eastAsia="仿宋_GB2312" w:cs="Times New Roman"/>
          <w:sz w:val="32"/>
          <w:szCs w:val="32"/>
          <w:lang w:eastAsia="zh-CN"/>
        </w:rPr>
        <w:t>生态农业发展</w:t>
      </w:r>
      <w:r>
        <w:rPr>
          <w:rFonts w:hint="default" w:ascii="Times New Roman" w:hAnsi="Times New Roman" w:eastAsia="仿宋_GB2312" w:cs="Times New Roman"/>
          <w:sz w:val="32"/>
          <w:szCs w:val="32"/>
        </w:rPr>
        <w:t>，推动山</w:t>
      </w:r>
      <w:r>
        <w:rPr>
          <w:rFonts w:hint="default" w:ascii="Times New Roman" w:hAnsi="Times New Roman" w:eastAsia="仿宋_GB2312" w:cs="Times New Roman"/>
          <w:sz w:val="32"/>
          <w:szCs w:val="32"/>
          <w:lang w:bidi="ar"/>
        </w:rPr>
        <w:t>地特色农业发展，实现“生态健康之区”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技术要点</w:t>
      </w:r>
    </w:p>
    <w:p>
      <w:pPr>
        <w:keepNext w:val="0"/>
        <w:keepLines w:val="0"/>
        <w:pageBreakBefore w:val="0"/>
        <w:widowControl w:val="0"/>
        <w:kinsoku/>
        <w:wordWrap/>
        <w:overflowPunct/>
        <w:topLinePunct w:val="0"/>
        <w:autoSpaceDE/>
        <w:autoSpaceDN/>
        <w:bidi w:val="0"/>
        <w:spacing w:line="560" w:lineRule="exact"/>
        <w:ind w:firstLine="602"/>
        <w:jc w:val="both"/>
        <w:textAlignment w:val="auto"/>
        <w:rPr>
          <w:rFonts w:hint="eastAsia" w:ascii="楷体_GB2312" w:hAnsi="楷体_GB2312" w:eastAsia="楷体_GB2312" w:cs="楷体_GB2312"/>
          <w:b w:val="0"/>
          <w:bCs w:val="0"/>
          <w:sz w:val="32"/>
          <w:szCs w:val="32"/>
          <w:lang w:val="en-US" w:eastAsia="zh-CN"/>
        </w:rPr>
      </w:pPr>
      <w:r>
        <w:rPr>
          <w:rStyle w:val="11"/>
          <w:rFonts w:hint="eastAsia" w:ascii="楷体_GB2312" w:hAnsi="楷体_GB2312" w:eastAsia="楷体_GB2312" w:cs="楷体_GB2312"/>
          <w:b w:val="0"/>
          <w:bCs w:val="0"/>
          <w:i w:val="0"/>
          <w:caps w:val="0"/>
          <w:color w:val="333333"/>
          <w:spacing w:val="8"/>
          <w:w w:val="100"/>
          <w:sz w:val="32"/>
          <w:szCs w:val="32"/>
          <w:lang w:eastAsia="zh-CN"/>
        </w:rPr>
        <w:t>（</w:t>
      </w:r>
      <w:r>
        <w:rPr>
          <w:rStyle w:val="11"/>
          <w:rFonts w:hint="eastAsia" w:ascii="楷体_GB2312" w:hAnsi="楷体_GB2312" w:eastAsia="楷体_GB2312" w:cs="楷体_GB2312"/>
          <w:b w:val="0"/>
          <w:bCs w:val="0"/>
          <w:i w:val="0"/>
          <w:caps w:val="0"/>
          <w:color w:val="333333"/>
          <w:spacing w:val="8"/>
          <w:w w:val="100"/>
          <w:sz w:val="32"/>
          <w:szCs w:val="32"/>
          <w:lang w:val="en-US" w:eastAsia="zh-CN"/>
        </w:rPr>
        <w:t>一</w:t>
      </w:r>
      <w:r>
        <w:rPr>
          <w:rStyle w:val="11"/>
          <w:rFonts w:hint="eastAsia" w:ascii="楷体_GB2312" w:hAnsi="楷体_GB2312" w:eastAsia="楷体_GB2312" w:cs="楷体_GB2312"/>
          <w:b w:val="0"/>
          <w:bCs w:val="0"/>
          <w:i w:val="0"/>
          <w:caps w:val="0"/>
          <w:color w:val="333333"/>
          <w:spacing w:val="8"/>
          <w:w w:val="100"/>
          <w:sz w:val="32"/>
          <w:szCs w:val="32"/>
          <w:lang w:eastAsia="zh-CN"/>
        </w:rPr>
        <w:t>）土地选择</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有相对独立的排灌系统，或采取有效措施不受禁用物质的污染。</w:t>
      </w:r>
    </w:p>
    <w:p>
      <w:pPr>
        <w:keepNext w:val="0"/>
        <w:keepLines w:val="0"/>
        <w:pageBreakBefore w:val="0"/>
        <w:widowControl w:val="0"/>
        <w:kinsoku/>
        <w:wordWrap/>
        <w:overflowPunct/>
        <w:topLinePunct w:val="0"/>
        <w:autoSpaceDE/>
        <w:autoSpaceDN/>
        <w:bidi w:val="0"/>
        <w:spacing w:line="560" w:lineRule="exact"/>
        <w:ind w:firstLine="602"/>
        <w:jc w:val="both"/>
        <w:textAlignment w:val="auto"/>
        <w:rPr>
          <w:rStyle w:val="11"/>
          <w:rFonts w:hint="default" w:ascii="楷体_GB2312" w:hAnsi="楷体_GB2312" w:eastAsia="楷体_GB2312" w:cs="楷体_GB2312"/>
          <w:b w:val="0"/>
          <w:bCs w:val="0"/>
          <w:i w:val="0"/>
          <w:caps w:val="0"/>
          <w:color w:val="333333"/>
          <w:spacing w:val="8"/>
          <w:w w:val="100"/>
          <w:sz w:val="32"/>
          <w:szCs w:val="32"/>
          <w:lang w:eastAsia="zh-CN"/>
        </w:rPr>
      </w:pPr>
      <w:r>
        <w:rPr>
          <w:rStyle w:val="11"/>
          <w:rFonts w:hint="default" w:ascii="楷体_GB2312" w:hAnsi="楷体_GB2312" w:eastAsia="楷体_GB2312" w:cs="楷体_GB2312"/>
          <w:b w:val="0"/>
          <w:bCs w:val="0"/>
          <w:i w:val="0"/>
          <w:caps w:val="0"/>
          <w:color w:val="333333"/>
          <w:spacing w:val="8"/>
          <w:w w:val="100"/>
          <w:sz w:val="32"/>
          <w:szCs w:val="32"/>
          <w:lang w:eastAsia="zh-CN"/>
        </w:rPr>
        <w:t>（二）土壤改良</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内循环培肥系统，建设发酵培肥车间，包括地下发酵池、地上发酵池、翻抛机、发酵车间、贮存仓库等设施。配合稻鸭、鹅的饲养，建立尽可能完善的土壤营养物质循环体系，主要改良方法有三种:一是有机肥改土，利用秸秆、米糠、家畜粪尿及有益菌种在发酵池中进行发酵制成有机肥施入土壤改良。二是将腐殖酸、草碳土、木炭、碳化稻壳、褐煤等有机物质直接送到水田缓期发酵实施改良。三是耕作改良，即利用秋翻、早春耕地、沼液、益生菌、酵素灌溉施肥等物理方法改善土壤回粒结构或理化性质完成改良。</w:t>
      </w:r>
    </w:p>
    <w:p>
      <w:pPr>
        <w:keepNext w:val="0"/>
        <w:keepLines w:val="0"/>
        <w:pageBreakBefore w:val="0"/>
        <w:widowControl w:val="0"/>
        <w:kinsoku/>
        <w:wordWrap/>
        <w:overflowPunct/>
        <w:topLinePunct w:val="0"/>
        <w:autoSpaceDE/>
        <w:autoSpaceDN/>
        <w:bidi w:val="0"/>
        <w:spacing w:line="560" w:lineRule="exact"/>
        <w:ind w:firstLine="602"/>
        <w:jc w:val="both"/>
        <w:textAlignment w:val="auto"/>
        <w:rPr>
          <w:rStyle w:val="11"/>
          <w:rFonts w:hint="default" w:ascii="楷体_GB2312" w:hAnsi="楷体_GB2312" w:eastAsia="楷体_GB2312" w:cs="楷体_GB2312"/>
          <w:b w:val="0"/>
          <w:bCs w:val="0"/>
          <w:i w:val="0"/>
          <w:caps w:val="0"/>
          <w:color w:val="333333"/>
          <w:spacing w:val="8"/>
          <w:w w:val="100"/>
          <w:sz w:val="32"/>
          <w:szCs w:val="32"/>
          <w:lang w:eastAsia="zh-CN"/>
        </w:rPr>
      </w:pPr>
      <w:r>
        <w:rPr>
          <w:rStyle w:val="11"/>
          <w:rFonts w:hint="default" w:ascii="楷体_GB2312" w:hAnsi="楷体_GB2312" w:eastAsia="楷体_GB2312" w:cs="楷体_GB2312"/>
          <w:b w:val="0"/>
          <w:bCs w:val="0"/>
          <w:i w:val="0"/>
          <w:caps w:val="0"/>
          <w:color w:val="333333"/>
          <w:spacing w:val="8"/>
          <w:w w:val="100"/>
          <w:sz w:val="32"/>
          <w:szCs w:val="32"/>
          <w:lang w:eastAsia="zh-CN"/>
        </w:rPr>
        <w:t>（</w:t>
      </w:r>
      <w:r>
        <w:rPr>
          <w:rStyle w:val="11"/>
          <w:rFonts w:hint="default" w:ascii="楷体_GB2312" w:hAnsi="楷体_GB2312" w:eastAsia="楷体_GB2312" w:cs="楷体_GB2312"/>
          <w:b w:val="0"/>
          <w:bCs w:val="0"/>
          <w:i w:val="0"/>
          <w:caps w:val="0"/>
          <w:color w:val="333333"/>
          <w:spacing w:val="8"/>
          <w:w w:val="100"/>
          <w:sz w:val="32"/>
          <w:szCs w:val="32"/>
          <w:lang w:val="en-US" w:eastAsia="zh-CN"/>
        </w:rPr>
        <w:t>三</w:t>
      </w:r>
      <w:r>
        <w:rPr>
          <w:rStyle w:val="11"/>
          <w:rFonts w:hint="default" w:ascii="楷体_GB2312" w:hAnsi="楷体_GB2312" w:eastAsia="楷体_GB2312" w:cs="楷体_GB2312"/>
          <w:b w:val="0"/>
          <w:bCs w:val="0"/>
          <w:i w:val="0"/>
          <w:caps w:val="0"/>
          <w:color w:val="333333"/>
          <w:spacing w:val="8"/>
          <w:w w:val="100"/>
          <w:sz w:val="32"/>
          <w:szCs w:val="32"/>
          <w:lang w:eastAsia="zh-CN"/>
        </w:rPr>
        <w:t>）生产技术</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培育壮秧</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品种选择：</w:t>
      </w:r>
      <w:r>
        <w:rPr>
          <w:rFonts w:hint="default" w:ascii="Times New Roman" w:hAnsi="Times New Roman" w:eastAsia="仿宋_GB2312" w:cs="Times New Roman"/>
          <w:sz w:val="32"/>
          <w:szCs w:val="32"/>
        </w:rPr>
        <w:t>选择农艺性状好、抗逆性强、适宜本地种植的优质水稻品种，并不断更换优质的新品种。</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种子处理：浸</w:t>
      </w:r>
      <w:r>
        <w:rPr>
          <w:rFonts w:hint="default" w:ascii="Times New Roman" w:hAnsi="Times New Roman" w:eastAsia="仿宋_GB2312" w:cs="Times New Roman"/>
          <w:sz w:val="32"/>
          <w:szCs w:val="32"/>
        </w:rPr>
        <w:t>种前晒种1-2天，然后用1%石灰水浸种2-3天，以预防水稻恶苗病、干尖线虫病种传播病害。然后再催芽播种，适期播种，播量每平方米为</w:t>
      </w:r>
      <w:r>
        <w:rPr>
          <w:rFonts w:hint="default" w:ascii="Times New Roman" w:hAnsi="Times New Roman" w:eastAsia="仿宋_GB2312" w:cs="Times New Roman"/>
          <w:sz w:val="32"/>
          <w:szCs w:val="32"/>
          <w:lang w:val="en-US" w:eastAsia="zh-CN"/>
        </w:rPr>
        <w:t>0.5kg</w:t>
      </w:r>
      <w:r>
        <w:rPr>
          <w:rFonts w:hint="default" w:ascii="Times New Roman" w:hAnsi="Times New Roman" w:eastAsia="仿宋_GB2312" w:cs="Times New Roman"/>
          <w:sz w:val="32"/>
          <w:szCs w:val="32"/>
        </w:rPr>
        <w:t>，秧龄30天左右，叶龄3-5叶，施足有机肥。苗床地可结合整地每平方米均匀施入捣碎的腐熟有机肥2-2.5kg（切忌未腐熟的），水拍籽，以防露籽。</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 xml:space="preserve">合理密植 </w:t>
      </w:r>
    </w:p>
    <w:p>
      <w:pPr>
        <w:keepNext w:val="0"/>
        <w:keepLines w:val="0"/>
        <w:pageBreakBefore w:val="0"/>
        <w:widowControl w:val="0"/>
        <w:kinsoku/>
        <w:wordWrap/>
        <w:overflowPunct/>
        <w:topLinePunct w:val="0"/>
        <w:autoSpaceDE/>
        <w:autoSpaceDN/>
        <w:bidi w:val="0"/>
        <w:adjustRightInd/>
        <w:snapToGrid/>
        <w:spacing w:line="560" w:lineRule="exact"/>
        <w:ind w:firstLine="60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秧苗长至3-5叶时开始移栽，株行距0.11×0.25</w:t>
      </w:r>
      <w:r>
        <w:rPr>
          <w:rFonts w:hint="default"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rPr>
        <w:t xml:space="preserve">，亩密度2-2.2万穴，每穴栽播6-7株，每亩基本苗12万株左右。 </w:t>
      </w:r>
    </w:p>
    <w:p>
      <w:pPr>
        <w:keepNext w:val="0"/>
        <w:keepLines w:val="0"/>
        <w:pageBreakBefore w:val="0"/>
        <w:widowControl w:val="0"/>
        <w:kinsoku/>
        <w:wordWrap/>
        <w:overflowPunct/>
        <w:topLinePunct w:val="0"/>
        <w:autoSpaceDE/>
        <w:autoSpaceDN/>
        <w:bidi w:val="0"/>
        <w:adjustRightInd/>
        <w:snapToGrid/>
        <w:spacing w:line="560" w:lineRule="exact"/>
        <w:ind w:firstLine="601"/>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合理施肥</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水稻生产施用</w:t>
      </w:r>
      <w:r>
        <w:rPr>
          <w:rFonts w:hint="default" w:ascii="Times New Roman" w:hAnsi="Times New Roman" w:eastAsia="仿宋_GB2312" w:cs="Times New Roman"/>
          <w:sz w:val="32"/>
          <w:szCs w:val="32"/>
          <w:lang w:eastAsia="zh-CN"/>
        </w:rPr>
        <w:t>生物菌肥、</w:t>
      </w:r>
      <w:r>
        <w:rPr>
          <w:rFonts w:hint="default" w:ascii="Times New Roman" w:hAnsi="Times New Roman" w:eastAsia="仿宋_GB2312" w:cs="Times New Roman"/>
          <w:sz w:val="32"/>
          <w:szCs w:val="32"/>
        </w:rPr>
        <w:t>有机肥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饼肥、</w:t>
      </w:r>
      <w:r>
        <w:rPr>
          <w:rFonts w:hint="default" w:ascii="Times New Roman" w:hAnsi="Times New Roman" w:eastAsia="仿宋_GB2312" w:cs="Times New Roman"/>
          <w:sz w:val="32"/>
          <w:szCs w:val="32"/>
          <w:lang w:eastAsia="zh-CN"/>
        </w:rPr>
        <w:t>沼液</w:t>
      </w:r>
      <w:r>
        <w:rPr>
          <w:rFonts w:hint="default" w:ascii="Times New Roman" w:hAnsi="Times New Roman" w:eastAsia="仿宋_GB2312" w:cs="Times New Roman"/>
          <w:sz w:val="32"/>
          <w:szCs w:val="32"/>
        </w:rPr>
        <w:t>等肥料</w:t>
      </w:r>
      <w:r>
        <w:rPr>
          <w:rFonts w:hint="default" w:ascii="Times New Roman" w:hAnsi="Times New Roman" w:eastAsia="仿宋_GB2312" w:cs="Times New Roman"/>
          <w:sz w:val="32"/>
          <w:szCs w:val="32"/>
          <w:lang w:eastAsia="zh-CN"/>
        </w:rPr>
        <w:t>（可以使用达到国标的商品有机肥）</w:t>
      </w:r>
      <w:r>
        <w:rPr>
          <w:rFonts w:hint="default" w:ascii="Times New Roman" w:hAnsi="Times New Roman" w:eastAsia="仿宋_GB2312" w:cs="Times New Roman"/>
          <w:sz w:val="32"/>
          <w:szCs w:val="32"/>
        </w:rPr>
        <w:t>，严禁施用化肥。底肥的施用要求质优量足，亩</w:t>
      </w:r>
      <w:r>
        <w:rPr>
          <w:rFonts w:hint="default" w:ascii="Times New Roman" w:hAnsi="Times New Roman" w:eastAsia="仿宋_GB2312" w:cs="Times New Roman"/>
          <w:sz w:val="32"/>
          <w:szCs w:val="32"/>
          <w:lang w:eastAsia="zh-CN"/>
        </w:rPr>
        <w:t>施用有机肥在</w:t>
      </w:r>
      <w:r>
        <w:rPr>
          <w:rFonts w:hint="default" w:ascii="Times New Roman" w:hAnsi="Times New Roman" w:eastAsia="仿宋_GB2312" w:cs="Times New Roman"/>
          <w:sz w:val="32"/>
          <w:szCs w:val="32"/>
          <w:lang w:val="en-US" w:eastAsia="zh-CN"/>
        </w:rPr>
        <w:t>1500kg-2500kg左右，</w:t>
      </w:r>
      <w:r>
        <w:rPr>
          <w:rFonts w:hint="default" w:ascii="Times New Roman" w:hAnsi="Times New Roman" w:eastAsia="仿宋_GB2312" w:cs="Times New Roman"/>
          <w:sz w:val="32"/>
          <w:szCs w:val="32"/>
        </w:rPr>
        <w:t>肥料的施入要均匀，不能在田间形成积堆，避免烧苗现象的发生。追肥</w:t>
      </w:r>
      <w:r>
        <w:rPr>
          <w:rFonts w:hint="default" w:ascii="Times New Roman" w:hAnsi="Times New Roman" w:eastAsia="仿宋_GB2312" w:cs="Times New Roman"/>
          <w:sz w:val="32"/>
          <w:szCs w:val="32"/>
          <w:lang w:eastAsia="zh-CN"/>
        </w:rPr>
        <w:t>主要选用沼液</w:t>
      </w:r>
      <w:r>
        <w:rPr>
          <w:rFonts w:hint="default" w:ascii="Times New Roman" w:hAnsi="Times New Roman" w:eastAsia="仿宋_GB2312" w:cs="Times New Roman"/>
          <w:sz w:val="32"/>
          <w:szCs w:val="32"/>
        </w:rPr>
        <w:t>，尽量做到少量多次。</w:t>
      </w:r>
    </w:p>
    <w:p>
      <w:pPr>
        <w:keepNext w:val="0"/>
        <w:keepLines w:val="0"/>
        <w:pageBreakBefore w:val="0"/>
        <w:widowControl w:val="0"/>
        <w:kinsoku/>
        <w:wordWrap/>
        <w:overflowPunct/>
        <w:topLinePunct w:val="0"/>
        <w:autoSpaceDE/>
        <w:autoSpaceDN/>
        <w:bidi w:val="0"/>
        <w:adjustRightInd/>
        <w:snapToGrid/>
        <w:spacing w:line="560" w:lineRule="exact"/>
        <w:ind w:firstLine="601"/>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水层管理</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灌水技术应建立在以水调肥、以水调气、以气养根、以根健蘖保叶的基础上，采用浅水返青，湿润分蘖。浅水还苗：插秧后5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7天内保证大田内有浅水层，以促进</w:t>
      </w:r>
      <w:r>
        <w:rPr>
          <w:rFonts w:hint="default" w:ascii="Times New Roman" w:hAnsi="Times New Roman" w:eastAsia="仿宋_GB2312" w:cs="Times New Roman"/>
          <w:sz w:val="32"/>
          <w:szCs w:val="32"/>
          <w:lang w:eastAsia="zh-CN"/>
        </w:rPr>
        <w:t>缓</w:t>
      </w:r>
      <w:r>
        <w:rPr>
          <w:rFonts w:hint="default" w:ascii="Times New Roman" w:hAnsi="Times New Roman" w:eastAsia="仿宋_GB2312" w:cs="Times New Roman"/>
          <w:sz w:val="32"/>
          <w:szCs w:val="32"/>
        </w:rPr>
        <w:t>苗。湿润分蘖即分蘖期田间保持湿润状态，以利分蘖。及时烤田，包括晾、晒烤田，水稻分蘖中后期，需排干稻田水进行晾田、烤田，当分蘖总数超过总穗数时，立即烤田。湿润灌浆，灌浆期保持田间湿润为主，遇旱时及时灌水，不保持水层，以养根保叶，利于水稻灌浆结实。</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杂草防除</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严禁使用化学合成杀草剂。</w:t>
      </w:r>
      <w:r>
        <w:rPr>
          <w:rFonts w:hint="default" w:ascii="Times New Roman" w:hAnsi="Times New Roman" w:eastAsia="仿宋_GB2312" w:cs="Times New Roman"/>
          <w:sz w:val="32"/>
          <w:szCs w:val="32"/>
          <w:lang w:val="en-US" w:eastAsia="zh-CN"/>
        </w:rPr>
        <w:t>生态化</w:t>
      </w:r>
      <w:r>
        <w:rPr>
          <w:rFonts w:hint="default" w:ascii="Times New Roman" w:hAnsi="Times New Roman" w:eastAsia="仿宋_GB2312" w:cs="Times New Roman"/>
          <w:sz w:val="32"/>
          <w:szCs w:val="32"/>
        </w:rPr>
        <w:t>水稻的杂草防除技术主要采用以下</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种：</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重复整地法：于插秧前12-15天进行第一次整地，粗耕、细耕及把平同时完成，随即给予深水（5-10cm）灌溉，持续至插秧前三天，再进行第二次整地，即可完全防除杂草。</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稻壳覆盖淹水法：于插秧前力求整地平整，插秧后秧苗挺直时，每公顷覆盖约4吨稻壳，并进行淹水处理，可防除大部分的杂草，再配合人工除草，即可有效防除杂草。</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生物防治法：主要采取“稻</w:t>
      </w:r>
      <w:r>
        <w:rPr>
          <w:rFonts w:hint="default" w:ascii="Times New Roman" w:hAnsi="Times New Roman" w:eastAsia="仿宋_GB2312" w:cs="Times New Roman"/>
          <w:sz w:val="32"/>
          <w:szCs w:val="32"/>
          <w:lang w:val="en-US" w:eastAsia="zh-CN"/>
        </w:rPr>
        <w:t>+鱼、稻+鸭”等方式解决。</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6</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病虫害防治</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sz w:val="32"/>
          <w:szCs w:val="32"/>
        </w:rPr>
        <w:t>生物农药防治</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选择对天敌杀伤力小的中、低毒性生物</w:t>
      </w:r>
      <w:r>
        <w:rPr>
          <w:rFonts w:hint="default" w:ascii="Times New Roman" w:hAnsi="Times New Roman" w:eastAsia="仿宋_GB2312" w:cs="Times New Roman"/>
          <w:b w:val="0"/>
          <w:bCs w:val="0"/>
          <w:sz w:val="32"/>
          <w:szCs w:val="32"/>
          <w:lang w:eastAsia="zh-CN"/>
        </w:rPr>
        <w:t>制剂，虫害主要选用绿疆菌、白疆菌、苏云金杆菌、</w:t>
      </w:r>
      <w:r>
        <w:rPr>
          <w:rFonts w:hint="default" w:ascii="Times New Roman" w:hAnsi="Times New Roman" w:eastAsia="仿宋_GB2312" w:cs="Times New Roman"/>
          <w:b w:val="0"/>
          <w:bCs w:val="0"/>
          <w:sz w:val="32"/>
          <w:szCs w:val="32"/>
        </w:rPr>
        <w:t>苦参碱</w:t>
      </w:r>
      <w:r>
        <w:rPr>
          <w:rFonts w:hint="default" w:ascii="Times New Roman" w:hAnsi="Times New Roman" w:eastAsia="仿宋_GB2312" w:cs="Times New Roman"/>
          <w:b w:val="0"/>
          <w:bCs w:val="0"/>
          <w:sz w:val="32"/>
          <w:szCs w:val="32"/>
          <w:lang w:eastAsia="zh-CN"/>
        </w:rPr>
        <w:t>、辣椒水等</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病害主要选用芽孢杆菌，</w:t>
      </w:r>
      <w:r>
        <w:rPr>
          <w:rFonts w:hint="default" w:ascii="Times New Roman" w:hAnsi="Times New Roman" w:eastAsia="仿宋_GB2312" w:cs="Times New Roman"/>
          <w:b w:val="0"/>
          <w:bCs w:val="0"/>
          <w:sz w:val="32"/>
          <w:szCs w:val="32"/>
        </w:rPr>
        <w:t>杀灭害虫保护天敌。</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物理防治</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采用</w:t>
      </w:r>
      <w:r>
        <w:rPr>
          <w:rFonts w:hint="default" w:ascii="Times New Roman" w:hAnsi="Times New Roman" w:eastAsia="仿宋_GB2312" w:cs="Times New Roman"/>
          <w:sz w:val="32"/>
          <w:szCs w:val="32"/>
        </w:rPr>
        <w:t>佳多频振式杀虫灯诱杀水稻害虫的成虫，田间按每100亩，放置3盏频振式杀虫灯诱杀水稻稻纵卷叶螟、二化螟等害虫的成虫。</w:t>
      </w:r>
    </w:p>
    <w:p>
      <w:pPr>
        <w:keepNext w:val="0"/>
        <w:keepLines w:val="0"/>
        <w:pageBreakBefore w:val="0"/>
        <w:widowControl w:val="0"/>
        <w:kinsoku/>
        <w:wordWrap/>
        <w:overflowPunct/>
        <w:topLinePunct w:val="0"/>
        <w:autoSpaceDE/>
        <w:autoSpaceDN/>
        <w:bidi w:val="0"/>
        <w:spacing w:line="560" w:lineRule="exact"/>
        <w:ind w:firstLine="6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7</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收割</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稻齐穗后30d左右，成熟度达95%时，即可收获；水稻收割以后应及时晾晒，严防堆沤发热；运输工具应清洁、干燥，并备防雨工具，不得与常规生产田或有毒、有害和有异味物品混装运输；新稻谷下场后，应及时入库贮存在清洁、阴凉、干燥、无虫鼠害的仓库内，不得与有毒、有害和有异味物品混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三、适宜区域</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eastAsia="zh-CN"/>
        </w:rPr>
        <w:t>贵阳地区海拔</w:t>
      </w:r>
      <w:r>
        <w:rPr>
          <w:rFonts w:hint="default" w:ascii="Times New Roman" w:hAnsi="Times New Roman" w:eastAsia="仿宋_GB2312" w:cs="Times New Roman"/>
          <w:sz w:val="32"/>
          <w:szCs w:val="32"/>
          <w:lang w:val="en-US" w:eastAsia="zh-CN"/>
        </w:rPr>
        <w:t>1200左右</w:t>
      </w:r>
      <w:r>
        <w:rPr>
          <w:rFonts w:hint="default" w:ascii="Times New Roman" w:hAnsi="Times New Roman" w:eastAsia="仿宋_GB2312" w:cs="Times New Roman"/>
          <w:sz w:val="32"/>
          <w:szCs w:val="32"/>
        </w:rPr>
        <w:t>一年</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熟区。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水稻确保按照农时播种，</w:t>
      </w:r>
      <w:r>
        <w:rPr>
          <w:rFonts w:hint="default" w:ascii="Times New Roman" w:hAnsi="Times New Roman" w:eastAsia="仿宋_GB2312" w:cs="Times New Roman"/>
          <w:sz w:val="32"/>
          <w:szCs w:val="32"/>
          <w:lang w:val="en-US" w:eastAsia="zh-CN"/>
        </w:rPr>
        <w:t>8月8日（立秋）前后10天内齐穗。</w:t>
      </w:r>
    </w:p>
    <w:p>
      <w:pPr>
        <w:keepNext w:val="0"/>
        <w:keepLines w:val="0"/>
        <w:pageBreakBefore w:val="0"/>
        <w:widowControl w:val="0"/>
        <w:numPr>
          <w:ilvl w:val="0"/>
          <w:numId w:val="1"/>
        </w:numPr>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技术依托单位</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贵州省农科院水稻所</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cs="Times New Roman"/>
          <w:b w:val="0"/>
          <w:bCs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2F9B06"/>
    <w:multiLevelType w:val="singleLevel"/>
    <w:tmpl w:val="4F2F9B0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OTU3NDk3YTU0MjMyZTdmMzU0Zjk3ZTVmNmEyMjYifQ=="/>
  </w:docVars>
  <w:rsids>
    <w:rsidRoot w:val="1232033A"/>
    <w:rsid w:val="1232033A"/>
    <w:rsid w:val="132977DB"/>
    <w:rsid w:val="15D5574D"/>
    <w:rsid w:val="1A3B43E0"/>
    <w:rsid w:val="1B9528F7"/>
    <w:rsid w:val="272E1546"/>
    <w:rsid w:val="2BB833CE"/>
    <w:rsid w:val="3EB83553"/>
    <w:rsid w:val="3FB73C23"/>
    <w:rsid w:val="43233385"/>
    <w:rsid w:val="4CD22D8F"/>
    <w:rsid w:val="57891648"/>
    <w:rsid w:val="5CDA1229"/>
    <w:rsid w:val="7913416D"/>
    <w:rsid w:val="7C86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autoRedefine/>
    <w:qFormat/>
    <w:uiPriority w:val="0"/>
    <w:pPr>
      <w:keepNext/>
      <w:keepLines/>
      <w:spacing w:beforeLines="100" w:afterLines="100" w:line="360" w:lineRule="exact"/>
      <w:jc w:val="center"/>
      <w:outlineLvl w:val="0"/>
    </w:pPr>
    <w:rPr>
      <w:rFonts w:eastAsia="黑体"/>
      <w:bCs/>
      <w:kern w:val="44"/>
      <w:sz w:val="32"/>
      <w:szCs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before="100" w:beforeAutospacing="1"/>
      <w:ind w:left="200" w:firstLine="200" w:firstLineChars="200"/>
    </w:pPr>
    <w:rPr>
      <w:rFonts w:ascii="Times New Roman" w:hAnsi="Times New Roman"/>
    </w:rPr>
  </w:style>
  <w:style w:type="paragraph" w:styleId="3">
    <w:name w:val="Body Text Indent"/>
    <w:basedOn w:val="1"/>
    <w:next w:val="4"/>
    <w:autoRedefine/>
    <w:qFormat/>
    <w:uiPriority w:val="0"/>
    <w:pPr>
      <w:ind w:firstLine="420" w:firstLineChars="200"/>
    </w:pPr>
  </w:style>
  <w:style w:type="paragraph" w:styleId="4">
    <w:name w:val="Body Text Indent 2"/>
    <w:basedOn w:val="1"/>
    <w:next w:val="5"/>
    <w:autoRedefine/>
    <w:qFormat/>
    <w:uiPriority w:val="0"/>
    <w:pPr>
      <w:ind w:firstLine="630"/>
    </w:pPr>
    <w:rPr>
      <w:rFonts w:ascii="Times New Roman" w:hAnsi="Times New Roman"/>
      <w:b/>
      <w:sz w:val="32"/>
    </w:rPr>
  </w:style>
  <w:style w:type="paragraph" w:styleId="5">
    <w:name w:val="Body Text Indent 3"/>
    <w:basedOn w:val="1"/>
    <w:autoRedefine/>
    <w:qFormat/>
    <w:uiPriority w:val="99"/>
    <w:pPr>
      <w:ind w:left="200" w:leftChars="200"/>
    </w:pPr>
    <w:rPr>
      <w:sz w:val="16"/>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next w:val="1"/>
    <w:autoRedefine/>
    <w:qFormat/>
    <w:uiPriority w:val="0"/>
    <w:pPr>
      <w:pBdr>
        <w:bottom w:val="single" w:color="auto" w:sz="6" w:space="1"/>
      </w:pBdr>
      <w:tabs>
        <w:tab w:val="center" w:pos="4153"/>
        <w:tab w:val="right" w:pos="8306"/>
      </w:tabs>
      <w:snapToGrid w:val="0"/>
      <w:jc w:val="center"/>
    </w:pPr>
    <w:rPr>
      <w:rFonts w:eastAsia="Times New Roman"/>
      <w:sz w:val="18"/>
      <w:szCs w:val="18"/>
    </w:rPr>
  </w:style>
  <w:style w:type="character" w:styleId="11">
    <w:name w:val="Strong"/>
    <w:basedOn w:val="10"/>
    <w:autoRedefine/>
    <w:qFormat/>
    <w:uiPriority w:val="22"/>
    <w:rPr>
      <w:b/>
      <w:bCs/>
    </w:rPr>
  </w:style>
  <w:style w:type="paragraph" w:customStyle="1" w:styleId="12">
    <w:name w:val="正文-公1"/>
    <w:basedOn w:val="13"/>
    <w:next w:val="8"/>
    <w:autoRedefine/>
    <w:qFormat/>
    <w:uiPriority w:val="0"/>
    <w:pPr>
      <w:ind w:firstLine="200" w:firstLineChars="200"/>
    </w:pPr>
    <w:rPr>
      <w:color w:val="000000"/>
    </w:rPr>
  </w:style>
  <w:style w:type="paragraph" w:customStyle="1" w:styleId="13">
    <w:name w:val="正文 New"/>
    <w:next w:val="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Body Text 21"/>
    <w:basedOn w:val="1"/>
    <w:autoRedefine/>
    <w:qFormat/>
    <w:uiPriority w:val="0"/>
    <w:pPr>
      <w:snapToGrid w:val="0"/>
      <w:spacing w:line="540" w:lineRule="exact"/>
    </w:pPr>
    <w:rPr>
      <w:rFonts w:ascii="Times New Roman" w:hAnsi="Times New Roman" w:eastAsia="方正仿宋_GBK" w:cs="Times New Roman"/>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1831</Words>
  <Characters>1908</Characters>
  <Lines>0</Lines>
  <Paragraphs>0</Paragraphs>
  <TotalTime>22</TotalTime>
  <ScaleCrop>false</ScaleCrop>
  <LinksUpToDate>false</LinksUpToDate>
  <CharactersWithSpaces>1911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2023-06-21T02:46:00Z</dcterms:created>
  <dc:creator>Administrator</dc:creator>
  <cp:lastModifiedBy>Administrator</cp:lastModifiedBy>
  <cp:lastPrinted>2023-06-26T06:52:00Z</cp:lastPrinted>
  <dcterms:modified xsi:type="dcterms:W3CDTF">2024-03-11T06:50:36Z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F21DB98F681846FDB4411767942B98C0_13</vt:lpwstr>
  </property>
</Properties>
</file>