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5D6E60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val="en-US" w:eastAsia="zh-CN"/>
        </w:rPr>
        <w:t>贵阳市白云区市政开发建设有限责任公司白云区同心路贵耐搬迁楼9、10、11号门面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房屋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  <w:bookmarkStart w:id="0" w:name="_GoBack"/>
            <w:bookmarkEnd w:id="0"/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40AF72B2"/>
    <w:rsid w:val="51BF2D54"/>
    <w:rsid w:val="5556237D"/>
    <w:rsid w:val="5B89608F"/>
    <w:rsid w:val="67226413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94</Characters>
  <TotalTime>1</TotalTime>
  <ScaleCrop>false</ScaleCrop>
  <LinksUpToDate>false</LinksUpToDate>
  <CharactersWithSpaces>101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 理想毁于数据</cp:lastModifiedBy>
  <cp:lastPrinted>2025-03-20T03:25:00Z</cp:lastPrinted>
  <dcterms:modified xsi:type="dcterms:W3CDTF">2025-09-05T01:49:15Z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2052-12.1.0.22529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eyJoZGlkIjoiMzhmM2I1YzA1ZDY5YjA3OTQ2MWZmZTRlNzBiZGYwMmQiLCJ1c2VySWQiOiI0Nzg3MTI5MjYifQ==</vt:lpwstr>
  </property>
</Properties>
</file>