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</w:pP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关于《贵阳市中心城区控制性详细规划（细则）--乌当组团北衙单元WD-06-02地块》</w:t>
      </w:r>
      <w:r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  <w:t>动态维护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的公示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依据《贵阳市城市总体规划（2011-2020年）》（2017年修订）、《贵阳市中心城区控制性详细规划（总则）——乌当组团》等上位规划，乌当区人民政府组织编制完成《贵阳市中心城区控制性详细规划（细</w:t>
      </w:r>
      <w:bookmarkStart w:id="0" w:name="_GoBack"/>
      <w:bookmarkEnd w:id="0"/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则）--乌当组团北衙单元WD-06-02地块》动态维护方案，根据《中华人民共和国城乡规划法》、《贵阳市控制性详细规划管理办法》等相关法律法规和规章要求，现将规划方案主要内容予以公告，广泛征求社会意见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公告时间：自公告之日起10工作日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2023年10月26日--11月8日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联 系 人：岳伟  （0851-85829396）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 xml:space="preserve">          瞿永祝（13985576187）</w:t>
      </w:r>
    </w:p>
    <w:p>
      <w:pPr>
        <w:widowControl/>
        <w:shd w:val="clear" w:color="auto" w:fill="FFFFFF"/>
        <w:wordWrap w:val="0"/>
        <w:spacing w:line="480" w:lineRule="atLeast"/>
        <w:ind w:right="600" w:firstLine="1652" w:firstLineChars="700"/>
        <w:jc w:val="left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李其春（15338609302）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asci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传  </w:t>
      </w: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  真：85829396（传真）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电子邮箱：</w:t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fldChar w:fldCharType="begin"/>
      </w:r>
      <w:r>
        <w:instrText xml:space="preserve">HYPERLINK "mailto:1325442033@qq.com"</w:instrText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fldChar w:fldCharType="separate"/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1325442033@qq.com</w:t>
      </w:r>
      <w:r>
        <w:rPr>
          <w:rStyle w:val="15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fldChar w:fldCharType="end"/>
      </w: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widowControl/>
        <w:shd w:val="clear" w:color="auto" w:fill="FFFFFF"/>
        <w:wordWrap w:val="0"/>
        <w:snapToGrid/>
        <w:spacing w:line="480" w:lineRule="atLeast"/>
        <w:ind w:right="600" w:firstLine="5961" w:firstLineChars="2526"/>
        <w:contextualSpacing w:val="0"/>
        <w:jc w:val="left"/>
        <w:rPr>
          <w:rStyle w:val="15"/>
          <w:rFonts w:ascii="微软雅黑" w:hAnsi="Times New Roman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Style w:val="15"/>
          <w:rFonts w:ascii="微软雅黑" w:hAnsi="Times New Roman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乌当区人民政府</w:t>
      </w:r>
    </w:p>
    <w:p>
      <w:pPr>
        <w:widowControl/>
        <w:shd w:val="clear" w:color="auto" w:fill="FFFFFF"/>
        <w:wordWrap w:val="0"/>
        <w:snapToGrid/>
        <w:spacing w:line="480" w:lineRule="atLeast"/>
        <w:ind w:right="600" w:firstLine="5725" w:firstLineChars="2426"/>
        <w:contextualSpacing w:val="0"/>
        <w:jc w:val="left"/>
        <w:rPr>
          <w:rStyle w:val="15"/>
          <w:rFonts w:hint="eastAsia" w:ascii="微软雅黑" w:hAnsi="Times New Roman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Style w:val="15"/>
          <w:rFonts w:ascii="微软雅黑" w:hAnsi="Times New Roman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2023年10月26日</w:t>
      </w: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 w:val="28"/>
          <w:szCs w:val="28"/>
        </w:rPr>
      </w:pPr>
      <w:r>
        <w:rPr>
          <w:rFonts w:hint="eastAsia"/>
        </w:rPr>
        <w:tab/>
      </w:r>
      <w:r>
        <w:rPr>
          <w:rFonts w:hint="eastAsia" w:ascii="宋体" w:eastAsia="宋体"/>
          <w:b/>
          <w:bCs/>
          <w:sz w:val="28"/>
          <w:szCs w:val="28"/>
        </w:rPr>
        <w:t>第一章 导则解读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 xml:space="preserve">第一条 </w:t>
      </w:r>
      <w:r>
        <w:rPr>
          <w:rFonts w:ascii="宋体" w:eastAsia="宋体"/>
          <w:b/>
          <w:bCs/>
          <w:szCs w:val="21"/>
        </w:rPr>
        <w:t xml:space="preserve"> </w:t>
      </w:r>
      <w:r>
        <w:rPr>
          <w:rFonts w:hint="eastAsia" w:ascii="宋体" w:eastAsia="宋体"/>
          <w:b/>
          <w:bCs/>
          <w:szCs w:val="21"/>
        </w:rPr>
        <w:t>地块边界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规划边界东、南面接新添大道为界，西至北衙路，北临云上路。总用地面积82.71公顷。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第二条 道路交通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道路体系为：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主干道：主要为新添大道。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次干道：主要为云上路、北衙路。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支路：主要为公馆路、狮岩路等。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地块道路长度8.15千米，道路网密度为9.85千米/平方公里。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第三条 规划</w:t>
      </w:r>
      <w:r>
        <w:rPr>
          <w:rFonts w:ascii="宋体" w:eastAsia="宋体"/>
          <w:b/>
          <w:bCs/>
          <w:szCs w:val="21"/>
        </w:rPr>
        <w:t>重要设施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根据北衙单元导则，地块规划重要设施如下：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公共服务设施：27班乌当二中（初中）、24班北衙小学、24班新天小学、30班幼儿园、2处居委会、3处文化活动站（含青少年活动中心、老年活动)、3处卫生服务站、3处托老所、1处小型多功能运动场地；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公用设施：1处中水处理站、1处开闭所、1处燃气调压站、3处生活垃圾收集点</w:t>
      </w:r>
      <w:r>
        <w:rPr>
          <w:rFonts w:ascii="宋体" w:eastAsia="宋体"/>
          <w:szCs w:val="21"/>
        </w:rPr>
        <w:t>、</w:t>
      </w:r>
      <w:r>
        <w:rPr>
          <w:rFonts w:hint="eastAsia" w:ascii="宋体" w:eastAsia="宋体"/>
          <w:szCs w:val="21"/>
        </w:rPr>
        <w:t>3处再生资源回收点</w:t>
      </w:r>
      <w:r>
        <w:rPr>
          <w:rFonts w:ascii="宋体" w:eastAsia="宋体"/>
          <w:szCs w:val="21"/>
        </w:rPr>
        <w:t>、</w:t>
      </w:r>
      <w:r>
        <w:rPr>
          <w:rFonts w:hint="eastAsia" w:ascii="宋体" w:eastAsia="宋体"/>
          <w:szCs w:val="21"/>
        </w:rPr>
        <w:t>4处公共厕所等。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第四条 空间管制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1、城市绿线规划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地块城市绿线包括：</w:t>
      </w:r>
    </w:p>
    <w:p>
      <w:pPr>
        <w:numPr>
          <w:ilvl w:val="0"/>
          <w:numId w:val="1"/>
        </w:numPr>
        <w:snapToGrid w:val="0"/>
        <w:spacing w:line="360" w:lineRule="auto"/>
        <w:ind w:left="0"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公共绿地：3处中型公园，用地面积共11.75公顷，以实线控制；2处街头绿地，用地面积共2.25公顷，以实线控制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2、城市黄线控制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地块城市黄线包括：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（</w:t>
      </w:r>
      <w:r>
        <w:rPr>
          <w:rFonts w:ascii="宋体" w:eastAsia="宋体"/>
          <w:szCs w:val="21"/>
        </w:rPr>
        <w:t>1</w:t>
      </w:r>
      <w:r>
        <w:rPr>
          <w:rFonts w:hint="eastAsia" w:ascii="宋体" w:eastAsia="宋体"/>
          <w:szCs w:val="21"/>
        </w:rPr>
        <w:t>）供应设施用地：开闭所、燃气调压站；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（</w:t>
      </w:r>
      <w:r>
        <w:rPr>
          <w:rFonts w:ascii="宋体" w:eastAsia="宋体"/>
          <w:szCs w:val="21"/>
        </w:rPr>
        <w:t>2</w:t>
      </w:r>
      <w:r>
        <w:rPr>
          <w:rFonts w:hint="eastAsia" w:ascii="宋体" w:eastAsia="宋体"/>
          <w:szCs w:val="21"/>
        </w:rPr>
        <w:t>）环境设施用地：3处生活垃圾收集点</w:t>
      </w:r>
      <w:r>
        <w:rPr>
          <w:rFonts w:ascii="宋体" w:eastAsia="宋体"/>
          <w:szCs w:val="21"/>
        </w:rPr>
        <w:t>、</w:t>
      </w:r>
      <w:r>
        <w:rPr>
          <w:rFonts w:hint="eastAsia" w:ascii="宋体" w:eastAsia="宋体"/>
          <w:szCs w:val="21"/>
        </w:rPr>
        <w:t>4处公厕、3处再生资源回收点；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第五条 地块</w:t>
      </w:r>
      <w:r>
        <w:rPr>
          <w:rFonts w:ascii="宋体" w:eastAsia="宋体"/>
          <w:b/>
          <w:bCs/>
          <w:szCs w:val="21"/>
        </w:rPr>
        <w:t>容量</w:t>
      </w:r>
    </w:p>
    <w:p>
      <w:pPr>
        <w:snapToGrid w:val="0"/>
        <w:spacing w:line="360" w:lineRule="auto"/>
        <w:ind w:firstLine="412" w:firstLineChars="200"/>
        <w:contextualSpacing/>
        <w:jc w:val="left"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地块用地面积82.71公顷，建设容量控制在115.38万㎡，综合容积率为1.46，规划人口16460人。</w:t>
      </w:r>
    </w:p>
    <w:tbl>
      <w:tblPr>
        <w:tblStyle w:val="13"/>
        <w:tblpPr w:leftFromText="180" w:rightFromText="180" w:vertAnchor="text" w:horzAnchor="page" w:tblpX="5818" w:tblpY="25"/>
        <w:tblW w:w="33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774"/>
        <w:gridCol w:w="486"/>
        <w:gridCol w:w="589"/>
        <w:gridCol w:w="554"/>
        <w:gridCol w:w="382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5000" w:type="pct"/>
            <w:gridSpan w:val="7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ind w:firstLine="412" w:firstLineChars="200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Cs w:val="21"/>
              </w:rPr>
              <w:t>地块容量控制指标一览表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13" w:type="pct"/>
            <w:vMerge w:val="restart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地块编号</w:t>
            </w:r>
          </w:p>
        </w:tc>
        <w:tc>
          <w:tcPr>
            <w:tcW w:w="713" w:type="pct"/>
            <w:vMerge w:val="restart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总用地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面积（ha）</w:t>
            </w:r>
          </w:p>
        </w:tc>
        <w:tc>
          <w:tcPr>
            <w:tcW w:w="3574" w:type="pct"/>
            <w:gridSpan w:val="5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规划指标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13" w:type="pct"/>
            <w:vMerge w:val="continue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vAlign w:val="center"/>
          </w:tcPr>
          <w:p/>
        </w:tc>
        <w:tc>
          <w:tcPr>
            <w:tcW w:w="713" w:type="pct"/>
            <w:vMerge w:val="continue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vAlign w:val="center"/>
          </w:tcPr>
          <w:p/>
        </w:tc>
        <w:tc>
          <w:tcPr>
            <w:tcW w:w="71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建设用地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（公顷）</w:t>
            </w:r>
          </w:p>
        </w:tc>
        <w:tc>
          <w:tcPr>
            <w:tcW w:w="711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建设容量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（万</w:t>
            </w:r>
            <w:r>
              <w:rPr>
                <w:rFonts w:hint="eastAsia" w:ascii="Batang" w:hAnsi="Batang" w:eastAsia="Batang" w:cs="Batang"/>
                <w:b/>
                <w:bCs/>
                <w:sz w:val="18"/>
                <w:szCs w:val="18"/>
              </w:rPr>
              <w:t>㎡</w:t>
            </w:r>
            <w:r>
              <w:rPr>
                <w:rFonts w:hint="eastAsia" w:ascii="微软雅黑" w:eastAsia="微软雅黑" w:cs="微软雅黑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1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人口规模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（人）</w:t>
            </w:r>
          </w:p>
        </w:tc>
        <w:tc>
          <w:tcPr>
            <w:tcW w:w="711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平均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毛容积率</w:t>
            </w:r>
          </w:p>
        </w:tc>
        <w:tc>
          <w:tcPr>
            <w:tcW w:w="72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建筑高度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ascii="微软雅黑" w:eastAsia="微软雅黑"/>
                <w:sz w:val="18"/>
                <w:szCs w:val="18"/>
              </w:rPr>
            </w:pPr>
            <w:r>
              <w:rPr>
                <w:rFonts w:hint="eastAsia" w:ascii="微软雅黑" w:eastAsia="微软雅黑"/>
                <w:b/>
                <w:bCs/>
                <w:sz w:val="18"/>
                <w:szCs w:val="1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3277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WD-06-02</w:t>
            </w:r>
          </w:p>
        </w:tc>
        <w:tc>
          <w:tcPr>
            <w:tcW w:w="1900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82.71</w:t>
            </w:r>
          </w:p>
        </w:tc>
        <w:tc>
          <w:tcPr>
            <w:tcW w:w="1900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81.99</w:t>
            </w:r>
          </w:p>
        </w:tc>
        <w:tc>
          <w:tcPr>
            <w:tcW w:w="2275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115.38</w:t>
            </w:r>
          </w:p>
        </w:tc>
        <w:tc>
          <w:tcPr>
            <w:tcW w:w="1962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16460</w:t>
            </w:r>
          </w:p>
        </w:tc>
        <w:tc>
          <w:tcPr>
            <w:tcW w:w="1525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1.46</w:t>
            </w:r>
          </w:p>
        </w:tc>
        <w:tc>
          <w:tcPr>
            <w:tcW w:w="724" w:type="pct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E9EDF4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150</w:t>
            </w:r>
          </w:p>
        </w:tc>
      </w:tr>
    </w:tbl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  <w:r>
        <w:rPr>
          <w:rFonts w:ascii="宋体" w:eastAsia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8255</wp:posOffset>
            </wp:positionV>
            <wp:extent cx="2887980" cy="3429635"/>
            <wp:effectExtent l="0" t="0" r="0" b="0"/>
            <wp:wrapNone/>
            <wp:docPr id="1" name="图片 4" descr="G:\57乌当\美凯龙\作图\023北衙地块容量公示.jpg023北衙地块容量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G:\57乌当\美凯龙\作图\023北衙地块容量公示.jpg023北衙地块容量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342963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宋体" w:eastAsia="宋体"/>
          <w:b/>
          <w:bCs/>
          <w:sz w:val="28"/>
          <w:szCs w:val="28"/>
        </w:rPr>
        <w:t>第二章 规划细则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第六条 土地使用规划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b/>
          <w:szCs w:val="21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213995</wp:posOffset>
            </wp:positionV>
            <wp:extent cx="3956050" cy="4150995"/>
            <wp:effectExtent l="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4150946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Cs w:val="21"/>
        </w:rPr>
        <w:t>规划区总用地面积为82.71公顷，建设用地面积81.99公顷。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第七条 开发控制</w:t>
      </w:r>
    </w:p>
    <w:p>
      <w:pPr>
        <w:snapToGrid w:val="0"/>
        <w:spacing w:line="360" w:lineRule="auto"/>
        <w:ind w:firstLine="412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规划总建筑量115.38万平方米。其中居住建筑总量72.67万平方米（含兼容建筑及配套设施），居住人口16460人。</w:t>
      </w:r>
    </w:p>
    <w:tbl>
      <w:tblPr>
        <w:tblStyle w:val="13"/>
        <w:tblW w:w="44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4"/>
        <w:gridCol w:w="1298"/>
        <w:gridCol w:w="1138"/>
        <w:gridCol w:w="968"/>
        <w:gridCol w:w="1176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地块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编号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（公顷）</w:t>
            </w:r>
          </w:p>
        </w:tc>
        <w:tc>
          <w:tcPr>
            <w:tcW w:w="69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建设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（公顷）</w:t>
            </w:r>
          </w:p>
        </w:tc>
        <w:tc>
          <w:tcPr>
            <w:tcW w:w="5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总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建筑量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3"/>
                <w:szCs w:val="15"/>
              </w:rPr>
              <w:t>（万平方米）</w:t>
            </w:r>
          </w:p>
        </w:tc>
        <w:tc>
          <w:tcPr>
            <w:tcW w:w="71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居住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建筑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总量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3"/>
                <w:szCs w:val="15"/>
              </w:rPr>
              <w:t>（万平方米）</w:t>
            </w:r>
          </w:p>
        </w:tc>
        <w:tc>
          <w:tcPr>
            <w:tcW w:w="6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居住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5"/>
                <w:szCs w:val="16"/>
              </w:rPr>
              <w:t>人口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 w:val="15"/>
                <w:szCs w:val="16"/>
              </w:rPr>
            </w:pPr>
            <w:r>
              <w:rPr>
                <w:rFonts w:hint="eastAsia"/>
                <w:b/>
                <w:bCs/>
                <w:sz w:val="13"/>
                <w:szCs w:val="15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69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5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7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6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WD-06-02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82.71</w:t>
            </w: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81.99</w:t>
            </w:r>
          </w:p>
        </w:tc>
        <w:tc>
          <w:tcPr>
            <w:tcW w:w="5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115.38</w:t>
            </w:r>
          </w:p>
        </w:tc>
        <w:tc>
          <w:tcPr>
            <w:tcW w:w="7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72.67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微软雅黑" w:eastAsia="微软雅黑" w:cs="Times New Roman"/>
                <w:bCs/>
                <w:kern w:val="2"/>
                <w:sz w:val="18"/>
                <w:szCs w:val="18"/>
              </w:rPr>
              <w:t>16460</w:t>
            </w:r>
          </w:p>
        </w:tc>
      </w:tr>
    </w:tbl>
    <w:p>
      <w:pPr>
        <w:snapToGrid w:val="0"/>
        <w:spacing w:line="360" w:lineRule="auto"/>
        <w:contextualSpacing/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第八条 地块细则</w:t>
      </w:r>
    </w:p>
    <w:p>
      <w:pPr>
        <w:ind w:firstLine="412" w:firstLineChars="200"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本次地块</w:t>
      </w:r>
      <w:r>
        <w:rPr>
          <w:rFonts w:ascii="宋体" w:eastAsia="宋体"/>
          <w:szCs w:val="21"/>
        </w:rPr>
        <w:t>细则图则</w:t>
      </w:r>
      <w:r>
        <w:rPr>
          <w:rFonts w:hint="eastAsia" w:ascii="宋体" w:eastAsia="宋体"/>
          <w:szCs w:val="21"/>
        </w:rPr>
        <w:t>如下：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-381635</wp:posOffset>
            </wp:positionH>
            <wp:positionV relativeFrom="paragraph">
              <wp:posOffset>19050</wp:posOffset>
            </wp:positionV>
            <wp:extent cx="6360795" cy="3890010"/>
            <wp:effectExtent l="0" t="0" r="0" b="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389000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sectPr>
      <w:pgSz w:w="11907" w:h="16840"/>
      <w:pgMar w:top="1531" w:right="1531" w:bottom="1531" w:left="1531" w:header="2098" w:footer="1588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8CCE2"/>
    <w:multiLevelType w:val="singleLevel"/>
    <w:tmpl w:val="7878CC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BjOGQxMDU1MGE5Y2E0M2Y2MzlmNTFmY2MzNjVkNGIifQ=="/>
  </w:docVars>
  <w:rsids>
    <w:rsidRoot w:val="00000000"/>
    <w:rsid w:val="0EA552ED"/>
    <w:rsid w:val="17CC4C4F"/>
    <w:rsid w:val="50E43F6B"/>
    <w:rsid w:val="51544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uiPriority w:val="0"/>
    <w:pPr>
      <w:ind w:left="84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uiPriority w:val="0"/>
    <w:pPr>
      <w:ind w:left="1260"/>
    </w:pPr>
  </w:style>
  <w:style w:type="paragraph" w:styleId="11">
    <w:name w:val="toc 2"/>
    <w:basedOn w:val="1"/>
    <w:next w:val="1"/>
    <w:uiPriority w:val="0"/>
    <w:pPr>
      <w:ind w:left="420"/>
    </w:p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5">
    <w:name w:val="Hyperlink"/>
    <w:basedOn w:val="1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5</Pages>
  <Words>1019</Words>
  <Characters>1220</Characters>
  <Lines>167</Lines>
  <Paragraphs>85</Paragraphs>
  <TotalTime>7</TotalTime>
  <ScaleCrop>false</ScaleCrop>
  <LinksUpToDate>false</LinksUpToDate>
  <CharactersWithSpaces>1250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2023-10-19T03:21:00Z</dcterms:created>
  <dc:creator>吕瑜</dc:creator>
  <cp:lastModifiedBy>清心</cp:lastModifiedBy>
  <dcterms:modified xsi:type="dcterms:W3CDTF">2023-10-26T02:45:08Z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342E4C4BB6924C97A33F9FB228A31224_13</vt:lpwstr>
  </property>
</Properties>
</file>