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</w:p>
    <w:p>
      <w:pPr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乌当区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基层农技推广体系改革与建设补助项目特聘农技员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办法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第一条</w:t>
      </w:r>
      <w:r>
        <w:rPr>
          <w:rFonts w:hint="eastAsia" w:ascii="Verdana" w:hAnsi="Verdan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根据本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主导产业发展要求和农民的科技需求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以提高农技推广服务供给质量和效率为目标，</w:t>
      </w:r>
      <w:r>
        <w:rPr>
          <w:rFonts w:hint="eastAsia" w:ascii="仿宋_GB2312" w:eastAsia="仿宋_GB2312"/>
          <w:sz w:val="32"/>
          <w:szCs w:val="32"/>
        </w:rPr>
        <w:t>全面推进农业科技进村入户，开展技术服务和追踪调查工作。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提升农业科技示范主体的科技示范辐射带动能力，加快新技术新模式的推广速度。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第二条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实行合同制管理。</w:t>
      </w:r>
      <w:r>
        <w:rPr>
          <w:rFonts w:hint="eastAsia" w:ascii="仿宋_GB2312" w:eastAsia="仿宋_GB2312"/>
          <w:sz w:val="32"/>
          <w:szCs w:val="32"/>
          <w:lang w:eastAsia="zh-CN"/>
        </w:rPr>
        <w:t>区农业农村局</w:t>
      </w:r>
      <w:r>
        <w:rPr>
          <w:rFonts w:hint="eastAsia" w:ascii="仿宋_GB2312" w:eastAsia="仿宋_GB2312"/>
          <w:sz w:val="32"/>
          <w:szCs w:val="32"/>
        </w:rPr>
        <w:t>与特聘农技员签订服务协议(或服务合同)，服务协议(或服务合同)的期限原则上不超过一年。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实行“三制”管理。落实特聘农技员的服务责任制、</w:t>
      </w:r>
      <w:r>
        <w:rPr>
          <w:rFonts w:hint="eastAsia" w:ascii="仿宋_GB2312" w:eastAsia="仿宋_GB2312"/>
          <w:sz w:val="32"/>
          <w:szCs w:val="32"/>
          <w:lang w:eastAsia="zh-CN"/>
        </w:rPr>
        <w:t>示范主体服务</w:t>
      </w:r>
      <w:r>
        <w:rPr>
          <w:rFonts w:hint="eastAsia" w:ascii="仿宋_GB2312" w:eastAsia="仿宋_GB2312"/>
          <w:sz w:val="32"/>
          <w:szCs w:val="32"/>
        </w:rPr>
        <w:t>制、绩效考核制，以此建立技术指导“责任和绩效”管理新机制。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特聘农技员必须忠于职守、尊重农民、爱岗敬业、勤奋工作、钻研业务、甘于奉献；必须端正工作作风，讲求工作方法，注重工作效率，提高工作质量，真正让农民满意。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Tahoma" w:eastAsia="仿宋_GB2312" w:cs="Tahoma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Tahoma" w:eastAsia="仿宋_GB2312" w:cs="Tahoma"/>
          <w:b/>
          <w:bCs/>
          <w:sz w:val="32"/>
          <w:szCs w:val="32"/>
        </w:rPr>
        <w:t>特聘农技员服务范围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建立新品种、新技术、绿色示范观摩基地，为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域农业特色优势产业发展提供生产样板、技术指导与咨询服务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为产业区域内农户从事农业生产经营提供技术帮扶，为周边农户提供技术指导并要有明显的指导服务效果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与农业经营主体示范户结对开展农技服务；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服从全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农业总体规划安排。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第六条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特聘农技员服务任务：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负责做好合同规定的产业（品种）的技术指导，年度进村入户服务不低于100天；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对应产业的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科技示范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主体，年度技术服务每1户不低于5天；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配合所在的农业经营主体，做好驻地乡镇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相同产业（品种）的低收入户的技术指导工作。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第七条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特聘农技员</w:t>
      </w:r>
      <w:r>
        <w:rPr>
          <w:rFonts w:hint="eastAsia" w:ascii="仿宋_GB2312" w:hAnsi="宋体" w:eastAsia="仿宋_GB2312" w:cs="Helvetica"/>
          <w:sz w:val="32"/>
          <w:szCs w:val="32"/>
        </w:rPr>
        <w:t>工作报酬。</w:t>
      </w:r>
      <w:r>
        <w:rPr>
          <w:rFonts w:hint="eastAsia" w:ascii="仿宋_GB2312" w:hAnsi="宋体" w:eastAsia="仿宋_GB2312" w:cs="Helvetica"/>
          <w:sz w:val="32"/>
          <w:szCs w:val="32"/>
          <w:lang w:eastAsia="zh-CN"/>
        </w:rPr>
        <w:t>按照方案和</w:t>
      </w:r>
      <w:r>
        <w:rPr>
          <w:rFonts w:hint="eastAsia" w:ascii="仿宋_GB2312" w:eastAsia="仿宋_GB2312"/>
          <w:sz w:val="32"/>
          <w:szCs w:val="32"/>
        </w:rPr>
        <w:t>服务协议(或服务合同)</w:t>
      </w:r>
      <w:r>
        <w:rPr>
          <w:rFonts w:hint="eastAsia" w:ascii="仿宋_GB2312" w:eastAsia="仿宋_GB2312"/>
          <w:sz w:val="32"/>
          <w:szCs w:val="32"/>
          <w:lang w:eastAsia="zh-CN"/>
        </w:rPr>
        <w:t>，采取</w:t>
      </w:r>
      <w:r>
        <w:rPr>
          <w:rFonts w:hint="eastAsia" w:ascii="仿宋_GB2312" w:hAnsi="宋体" w:eastAsia="仿宋_GB2312" w:cs="Helvetica"/>
          <w:sz w:val="32"/>
          <w:szCs w:val="32"/>
        </w:rPr>
        <w:t>一次性兑现服务质量补助资金。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第八条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特聘农技员配合每一名示范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</w:rPr>
        <w:t>落实好带动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户村民抓好产业技术服务，实现主导品种、主推技术入户率和到位率达到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/>
          <w:b/>
          <w:bCs/>
          <w:sz w:val="32"/>
          <w:szCs w:val="32"/>
        </w:rPr>
        <w:t>第九条</w:t>
      </w:r>
      <w:r>
        <w:rPr>
          <w:rFonts w:hint="eastAsia" w:ascii="仿宋_GB2312" w:hAnsi="Verdana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特聘农技员在技术服务工作中做到五有，即：有各种进村入户指导的记录，有各示范户的档案资料（含技术指导前情况、指导后项目增收情况），有项目工作信</w:t>
      </w:r>
      <w:r>
        <w:rPr>
          <w:rFonts w:hint="eastAsia" w:ascii="仿宋_GB2312" w:eastAsia="仿宋_GB2312"/>
          <w:sz w:val="32"/>
          <w:szCs w:val="32"/>
          <w:lang w:eastAsia="zh-CN"/>
        </w:rPr>
        <w:t>息、</w:t>
      </w:r>
      <w:r>
        <w:rPr>
          <w:rFonts w:hint="eastAsia" w:ascii="仿宋_GB2312" w:eastAsia="仿宋_GB2312"/>
          <w:sz w:val="32"/>
          <w:szCs w:val="32"/>
        </w:rPr>
        <w:t>典型事例</w:t>
      </w:r>
      <w:r>
        <w:rPr>
          <w:rFonts w:hint="eastAsia" w:ascii="仿宋_GB2312" w:eastAsia="仿宋_GB2312"/>
          <w:sz w:val="32"/>
          <w:szCs w:val="32"/>
          <w:lang w:eastAsia="zh-CN"/>
        </w:rPr>
        <w:t>材</w:t>
      </w:r>
      <w:r>
        <w:rPr>
          <w:rFonts w:hint="eastAsia" w:ascii="仿宋_GB2312" w:eastAsia="仿宋_GB2312"/>
          <w:sz w:val="32"/>
          <w:szCs w:val="32"/>
        </w:rPr>
        <w:t>料，有开展技术指导培训的痕迹材料，有项目工作总结材料，并与示范户共同建好带动户的档案资料。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1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特聘农技员年度工作结束后，以服务对象的满意率、解决产业发展实际问题等为主要考核指标，采取量化打分和实地测评相结合的方式，</w:t>
      </w:r>
      <w:r>
        <w:rPr>
          <w:rFonts w:hint="eastAsia" w:ascii="仿宋_GB2312" w:eastAsia="仿宋_GB2312"/>
          <w:sz w:val="32"/>
          <w:szCs w:val="32"/>
          <w:lang w:eastAsia="zh-CN"/>
        </w:rPr>
        <w:t>结合区农业农村局、</w:t>
      </w:r>
      <w:r>
        <w:rPr>
          <w:rFonts w:hint="eastAsia" w:ascii="仿宋_GB2312" w:eastAsia="仿宋_GB2312"/>
          <w:sz w:val="32"/>
          <w:szCs w:val="32"/>
        </w:rPr>
        <w:t>乡镇、服务对象</w:t>
      </w:r>
      <w:r>
        <w:rPr>
          <w:rFonts w:hint="eastAsia" w:ascii="仿宋_GB2312" w:eastAsia="仿宋_GB2312"/>
          <w:sz w:val="32"/>
          <w:szCs w:val="32"/>
          <w:lang w:eastAsia="zh-CN"/>
        </w:rPr>
        <w:t>、服务产业所在村打分综合评定，</w:t>
      </w:r>
      <w:r>
        <w:rPr>
          <w:rFonts w:hint="eastAsia" w:ascii="仿宋_GB2312" w:eastAsia="仿宋_GB2312"/>
          <w:sz w:val="32"/>
          <w:szCs w:val="32"/>
        </w:rPr>
        <w:t>对特聘农技员服务效果进行绩效考核。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建立以特聘农技员绩效考核结果为导向的激励约束机制，考核不合格的及时解除服务协议，并扣除相应的技术服务补助费用;对考核优秀的特聘农技员，服务期满后可优先继续招募，并与项</w:t>
      </w:r>
      <w:r>
        <w:rPr>
          <w:rFonts w:hint="eastAsia" w:ascii="仿宋_GB2312" w:hAnsi="仿宋_GB2312" w:eastAsia="仿宋_GB2312"/>
          <w:sz w:val="32"/>
          <w:szCs w:val="32"/>
        </w:rPr>
        <w:t>目工作补助、职称评定挂钩。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宋体" w:eastAsia="仿宋_GB2312" w:cs="Helvetica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Helvetica"/>
          <w:b/>
          <w:sz w:val="32"/>
          <w:szCs w:val="32"/>
        </w:rPr>
        <w:t>聘用期的终止、解除和变更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特聘农技员有下列情形之一的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可以解除聘用合同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在聘用期被证明不符合聘用条件的；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严重违反劳动纪律或者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规章制度的；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严重失职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渎职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营私舞弊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方利益造成重大损害的；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Helvetic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有下列情形之一的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可解除聘用合同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但应提前30日书</w:t>
      </w:r>
      <w:r>
        <w:rPr>
          <w:rFonts w:hint="eastAsia" w:ascii="仿宋_GB2312" w:hAnsi="宋体" w:eastAsia="仿宋_GB2312" w:cs="Helvetica"/>
          <w:sz w:val="32"/>
          <w:szCs w:val="32"/>
        </w:rPr>
        <w:t>面通知</w:t>
      </w:r>
      <w:r>
        <w:rPr>
          <w:rFonts w:hint="eastAsia" w:ascii="仿宋_GB2312" w:eastAsia="仿宋_GB2312"/>
          <w:sz w:val="32"/>
          <w:szCs w:val="32"/>
        </w:rPr>
        <w:t>特聘农技员</w:t>
      </w:r>
      <w:r>
        <w:rPr>
          <w:rFonts w:hint="eastAsia" w:ascii="仿宋_GB2312" w:hAnsi="宋体" w:eastAsia="仿宋_GB2312" w:cs="Helvetica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Helvetic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特聘农技员</w:t>
      </w:r>
      <w:r>
        <w:rPr>
          <w:rFonts w:hint="eastAsia" w:ascii="仿宋_GB2312" w:hAnsi="宋体" w:eastAsia="仿宋_GB2312" w:cs="Helvetica"/>
          <w:sz w:val="32"/>
          <w:szCs w:val="32"/>
        </w:rPr>
        <w:t>患病或非因工负伤,医疗期满后,不能从事原工作；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Helvetica"/>
          <w:sz w:val="32"/>
          <w:szCs w:val="32"/>
        </w:rPr>
      </w:pPr>
      <w:r>
        <w:rPr>
          <w:rFonts w:hint="eastAsia" w:ascii="仿宋_GB2312" w:hAnsi="宋体" w:eastAsia="仿宋_GB2312" w:cs="Helvetica"/>
          <w:sz w:val="32"/>
          <w:szCs w:val="32"/>
        </w:rPr>
        <w:t>本合同订立时所依据的客观情况发生重大变化,致使原聘用合同无法履行,经双方协商不能就变更合同达成协议的；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Helvetica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特聘农技员</w:t>
      </w:r>
      <w:r>
        <w:rPr>
          <w:rFonts w:hint="eastAsia" w:ascii="仿宋_GB2312" w:hAnsi="宋体" w:eastAsia="仿宋_GB2312" w:cs="Helvetica"/>
          <w:sz w:val="32"/>
          <w:szCs w:val="32"/>
        </w:rPr>
        <w:t>不履行聘用合同的</w:t>
      </w:r>
      <w:r>
        <w:rPr>
          <w:rFonts w:hint="eastAsia" w:ascii="仿宋_GB2312" w:hAnsi="宋体" w:eastAsia="仿宋_GB2312" w:cs="Helvetic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宋体" w:eastAsia="仿宋_GB2312" w:cs="Helvetica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Helvetica"/>
          <w:b/>
          <w:bCs/>
          <w:sz w:val="32"/>
          <w:szCs w:val="32"/>
        </w:rPr>
        <w:t>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由于当事人一方的过错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造成合同不能完全履行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由有过错的一方承担违约责任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如属双方的责任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根据实际情况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由双方分别承担各自应负的违约责任。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当事人由于不可抗拒力的原因不能履行合同的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应及时向对方通报不能履行或者需要延期履行、部分履行合同的理由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在取得有关证明后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允许延期履行、部分履行或者不履行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并可根据情况部分或者全部免于承担违约责任。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Helvetic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当事人一方违反合同时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应承担违约责任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向对方支付违约金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给对方</w:t>
      </w:r>
      <w:r>
        <w:rPr>
          <w:rFonts w:hint="eastAsia" w:ascii="仿宋_GB2312" w:hAnsi="宋体" w:eastAsia="仿宋_GB2312" w:cs="Helvetica"/>
          <w:sz w:val="32"/>
          <w:szCs w:val="32"/>
        </w:rPr>
        <w:t>造成严重经济损失的</w:t>
      </w:r>
      <w:r>
        <w:rPr>
          <w:rFonts w:hint="eastAsia" w:ascii="仿宋_GB2312" w:hAnsi="宋体" w:eastAsia="仿宋_GB2312" w:cs="Helvetica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Helvetica"/>
          <w:sz w:val="32"/>
          <w:szCs w:val="32"/>
        </w:rPr>
        <w:t>应根据责任大小及后果追究经济赔偿责任。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bCs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Verdana" w:eastAsia="仿宋_GB2312"/>
          <w:sz w:val="32"/>
          <w:szCs w:val="32"/>
        </w:rPr>
        <w:t>本办法适用于</w:t>
      </w:r>
      <w:r>
        <w:rPr>
          <w:rFonts w:hint="eastAsia" w:ascii="仿宋_GB2312" w:eastAsia="仿宋_GB2312"/>
          <w:sz w:val="32"/>
          <w:szCs w:val="32"/>
        </w:rPr>
        <w:t>特聘农技员</w:t>
      </w:r>
      <w:r>
        <w:rPr>
          <w:rFonts w:hint="eastAsia" w:ascii="仿宋_GB2312" w:hAnsi="Verdana" w:eastAsia="仿宋_GB2312"/>
          <w:sz w:val="32"/>
          <w:szCs w:val="32"/>
        </w:rPr>
        <w:t>与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Verdana" w:eastAsia="仿宋_GB2312"/>
          <w:sz w:val="32"/>
          <w:szCs w:val="32"/>
        </w:rPr>
        <w:t>签定聘用合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同</w:t>
      </w:r>
      <w:r>
        <w:rPr>
          <w:rFonts w:hint="eastAsia" w:ascii="仿宋_GB2312" w:hAnsi="Verdana" w:eastAsia="仿宋_GB2312"/>
          <w:sz w:val="32"/>
          <w:szCs w:val="32"/>
        </w:rPr>
        <w:t>后生效，生效期为一年</w:t>
      </w:r>
      <w:r>
        <w:rPr>
          <w:rFonts w:hint="eastAsia" w:ascii="仿宋_GB2312" w:hAnsi="Verdana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8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DgyYjA3MTlhY2I2NWE5OTlmMWVkM2IxZTcwNzEifQ=="/>
  </w:docVars>
  <w:rsids>
    <w:rsidRoot w:val="2F61148B"/>
    <w:rsid w:val="000108E1"/>
    <w:rsid w:val="00050F9D"/>
    <w:rsid w:val="0005320F"/>
    <w:rsid w:val="00084208"/>
    <w:rsid w:val="000A5E2E"/>
    <w:rsid w:val="00677713"/>
    <w:rsid w:val="00A818DB"/>
    <w:rsid w:val="00AB3883"/>
    <w:rsid w:val="00B214C7"/>
    <w:rsid w:val="00B73164"/>
    <w:rsid w:val="00CD0468"/>
    <w:rsid w:val="00D362CB"/>
    <w:rsid w:val="00FF006A"/>
    <w:rsid w:val="06826F86"/>
    <w:rsid w:val="072A2FCD"/>
    <w:rsid w:val="0DFA3999"/>
    <w:rsid w:val="0F44476C"/>
    <w:rsid w:val="0F4D48FC"/>
    <w:rsid w:val="126F5AA7"/>
    <w:rsid w:val="14174572"/>
    <w:rsid w:val="144D107B"/>
    <w:rsid w:val="16FF207C"/>
    <w:rsid w:val="1A4F6ACA"/>
    <w:rsid w:val="1C392734"/>
    <w:rsid w:val="22897608"/>
    <w:rsid w:val="27B00009"/>
    <w:rsid w:val="29C11AB3"/>
    <w:rsid w:val="29DA2EB2"/>
    <w:rsid w:val="2B125ACC"/>
    <w:rsid w:val="2E2D2FE8"/>
    <w:rsid w:val="2F61148B"/>
    <w:rsid w:val="2FC925C7"/>
    <w:rsid w:val="300A70CF"/>
    <w:rsid w:val="313C298A"/>
    <w:rsid w:val="31F2151C"/>
    <w:rsid w:val="37E85344"/>
    <w:rsid w:val="389A7DE9"/>
    <w:rsid w:val="3B622D60"/>
    <w:rsid w:val="3C057632"/>
    <w:rsid w:val="411745A9"/>
    <w:rsid w:val="43620F8D"/>
    <w:rsid w:val="44087D45"/>
    <w:rsid w:val="47E65F3E"/>
    <w:rsid w:val="49A47F8B"/>
    <w:rsid w:val="4AEF7414"/>
    <w:rsid w:val="4D4B4469"/>
    <w:rsid w:val="533714C8"/>
    <w:rsid w:val="59EE721F"/>
    <w:rsid w:val="5B102E60"/>
    <w:rsid w:val="5EA156B3"/>
    <w:rsid w:val="63426232"/>
    <w:rsid w:val="67F547A0"/>
    <w:rsid w:val="69722365"/>
    <w:rsid w:val="69B47740"/>
    <w:rsid w:val="6AEB028D"/>
    <w:rsid w:val="6D535020"/>
    <w:rsid w:val="71E23801"/>
    <w:rsid w:val="750B513D"/>
    <w:rsid w:val="78494160"/>
    <w:rsid w:val="797949AF"/>
    <w:rsid w:val="7B452493"/>
    <w:rsid w:val="7F5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qFormat/>
    <w:uiPriority w:val="99"/>
    <w:pPr>
      <w:ind w:left="200" w:leftChars="200"/>
    </w:pPr>
    <w:rPr>
      <w:sz w:val="16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正文-公1"/>
    <w:basedOn w:val="13"/>
    <w:next w:val="8"/>
    <w:qFormat/>
    <w:uiPriority w:val="0"/>
    <w:pPr>
      <w:ind w:firstLine="200" w:firstLineChars="200"/>
    </w:pPr>
    <w:rPr>
      <w:szCs w:val="20"/>
    </w:rPr>
  </w:style>
  <w:style w:type="paragraph" w:customStyle="1" w:styleId="13">
    <w:name w:val="正文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Heading 1 Char"/>
    <w:basedOn w:val="10"/>
    <w:link w:val="6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paragraph" w:customStyle="1" w:styleId="15">
    <w:name w:val="Body Text 21"/>
    <w:basedOn w:val="1"/>
    <w:qFormat/>
    <w:uiPriority w:val="0"/>
    <w:pPr>
      <w:snapToGrid w:val="0"/>
      <w:spacing w:line="540" w:lineRule="exact"/>
    </w:pPr>
    <w:rPr>
      <w:rFonts w:ascii="Times New Roman" w:hAnsi="Times New Roman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2986</Words>
  <Characters>3070</Characters>
  <Lines>0</Lines>
  <Paragraphs>0</Paragraphs>
  <TotalTime>45</TotalTime>
  <ScaleCrop>false</ScaleCrop>
  <LinksUpToDate>false</LinksUpToDate>
  <CharactersWithSpaces>3795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2018-09-18T03:44:00Z</dcterms:created>
  <dc:creator>红袋鼠</dc:creator>
  <cp:lastModifiedBy>凌啊凌啊凌^</cp:lastModifiedBy>
  <cp:lastPrinted>2023-09-26T03:48:00Z</cp:lastPrinted>
  <dcterms:modified xsi:type="dcterms:W3CDTF">2023-09-28T02:06:44Z</dcterms:modified>
  <dc:title>息烽县农业局2018年招募5名特聘农技员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21782DFB91024BA49B58A256C48BA30E_13</vt:lpwstr>
  </property>
</Properties>
</file>