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乌当区人民政府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关于《贵阳市中心城区控制性详细规划（细则）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乌当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组团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后所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WD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2-10/11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地块规划方案》的公示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依据《贵阳市城市总体规划（2011-2020年）》（2017年修订）、《贵阳市中心城区控制性详细规划（总则）——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sz w:val="32"/>
          <w:szCs w:val="32"/>
        </w:rPr>
        <w:t>组团》等上位规划，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组织编制完成《贵阳市中心城区控制性详细规划（细则）—乌当组团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后所</w:t>
      </w:r>
      <w:r>
        <w:rPr>
          <w:rFonts w:hint="eastAsia" w:ascii="仿宋_GB2312" w:hAnsi="仿宋_GB2312" w:eastAsia="仿宋_GB2312" w:cs="仿宋_GB2312"/>
          <w:sz w:val="32"/>
          <w:szCs w:val="32"/>
        </w:rPr>
        <w:t>单元WD-1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2-10/11</w:t>
      </w:r>
      <w:r>
        <w:rPr>
          <w:rFonts w:hint="eastAsia" w:ascii="仿宋_GB2312" w:hAnsi="仿宋_GB2312" w:eastAsia="仿宋_GB2312" w:cs="仿宋_GB2312"/>
          <w:sz w:val="32"/>
          <w:szCs w:val="32"/>
        </w:rPr>
        <w:t>地块规划方案》，根据《中华人民共和国城乡规划法》《贵阳市控制性详细规划管理办法》等相关法律法规和规章要求，现将规划方案主要内容予以公告，广泛征求社会意见。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公告时间：自公告之日起10工作日。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（0851-85829396）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瞿永祝（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13985576187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武王菡巍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13511962327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    真：85829384（传真）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"mailto:1325442033@qq.com"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1325442033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360" w:lineRule="auto"/>
        <w:ind w:left="109" w:leftChars="52" w:firstLine="240" w:firstLineChars="100"/>
        <w:jc w:val="right"/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</w:pPr>
    </w:p>
    <w:p>
      <w:pPr>
        <w:spacing w:line="360" w:lineRule="auto"/>
        <w:ind w:left="109" w:leftChars="52" w:firstLine="240" w:firstLineChars="100"/>
        <w:jc w:val="right"/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</w:pPr>
    </w:p>
    <w:p>
      <w:pPr>
        <w:spacing w:line="360" w:lineRule="auto"/>
        <w:ind w:left="109" w:leftChars="52" w:firstLine="320" w:firstLineChars="100"/>
        <w:jc w:val="right"/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乌当区人民政府</w:t>
      </w:r>
    </w:p>
    <w:p>
      <w:pPr>
        <w:spacing w:line="360" w:lineRule="auto"/>
        <w:ind w:left="109" w:leftChars="52" w:firstLine="320" w:firstLineChars="100"/>
        <w:jc w:val="right"/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2023年3月24日</w:t>
      </w:r>
    </w:p>
    <w:p>
      <w:pPr>
        <w:spacing w:line="360" w:lineRule="auto"/>
        <w:ind w:left="109" w:leftChars="52" w:firstLine="320" w:firstLineChars="100"/>
        <w:jc w:val="center"/>
        <w:rPr>
          <w:rStyle w:val="16"/>
          <w:rFonts w:hint="eastAsia" w:ascii="微软雅黑" w:eastAsia="微软雅黑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360" w:lineRule="auto"/>
        <w:jc w:val="both"/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napToGrid w:val="0"/>
        <w:spacing w:line="360" w:lineRule="auto"/>
        <w:ind w:firstLine="420" w:firstLineChars="200"/>
        <w:contextualSpacing/>
        <w:rPr>
          <w:rFonts w:hint="eastAsia" w:ascii="宋体" w:eastAsia="宋体"/>
          <w:szCs w:val="21"/>
        </w:rPr>
      </w:pP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按照《城市控制性详细规划编制审批办法》（住建部7号令）、《关于加强建设用地容积率管理和监督检查的通知》（建规【2008】227号）、《建设用地容积率管理办法》等要求，我局按程序对《中心城区控制性详细规划（细则）--乌当组团后所单元WD-</w:t>
      </w:r>
      <w:r>
        <w:rPr>
          <w:rFonts w:ascii="宋体" w:eastAsia="宋体"/>
          <w:szCs w:val="21"/>
        </w:rPr>
        <w:t>15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02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10</w:t>
      </w:r>
      <w:r>
        <w:rPr>
          <w:rFonts w:hint="eastAsia" w:ascii="宋体" w:eastAsia="宋体"/>
          <w:szCs w:val="21"/>
        </w:rPr>
        <w:t>、1</w:t>
      </w:r>
      <w:r>
        <w:rPr>
          <w:rFonts w:ascii="宋体" w:eastAsia="宋体"/>
          <w:szCs w:val="21"/>
        </w:rPr>
        <w:t>1</w:t>
      </w:r>
      <w:r>
        <w:rPr>
          <w:rFonts w:hint="eastAsia" w:ascii="宋体" w:eastAsia="宋体"/>
          <w:szCs w:val="21"/>
        </w:rPr>
        <w:t>地块》细则优化调整情况进行公示，广泛征求社会意见。</w:t>
      </w:r>
    </w:p>
    <w:p>
      <w:pPr>
        <w:snapToGrid w:val="0"/>
        <w:spacing w:line="360" w:lineRule="auto"/>
        <w:ind w:firstLine="422" w:firstLineChars="200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一、规划范围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项目地块位于乌当组团后所单元西南侧，规划边界西至鱼洞峡，东至风情路，南北至自然山体。规划用地总面积</w:t>
      </w:r>
      <w:r>
        <w:rPr>
          <w:rFonts w:ascii="宋体" w:eastAsia="宋体"/>
          <w:szCs w:val="21"/>
        </w:rPr>
        <w:t>6.41</w:t>
      </w:r>
      <w:r>
        <w:rPr>
          <w:rFonts w:hint="eastAsia" w:ascii="宋体" w:eastAsia="宋体"/>
          <w:szCs w:val="21"/>
        </w:rPr>
        <w:t>公顷 。</w:t>
      </w:r>
    </w:p>
    <w:p>
      <w:pPr>
        <w:snapToGrid w:val="0"/>
        <w:spacing w:line="360" w:lineRule="auto"/>
        <w:ind w:firstLine="422" w:firstLineChars="200"/>
        <w:contextualSpacing/>
        <w:rPr>
          <w:rFonts w:ascii="宋体" w:eastAsia="宋体"/>
          <w:b/>
          <w:szCs w:val="21"/>
        </w:rPr>
      </w:pPr>
      <w:r>
        <w:rPr>
          <w:rFonts w:hint="eastAsia" w:ascii="宋体" w:eastAsia="宋体"/>
          <w:b/>
          <w:szCs w:val="21"/>
        </w:rPr>
        <w:t>二、地块指标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WD-</w:t>
      </w:r>
      <w:r>
        <w:rPr>
          <w:rFonts w:ascii="宋体" w:eastAsia="宋体"/>
          <w:szCs w:val="21"/>
        </w:rPr>
        <w:t>15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02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10</w:t>
      </w:r>
      <w:r>
        <w:rPr>
          <w:rFonts w:hint="eastAsia" w:ascii="宋体" w:eastAsia="宋体"/>
          <w:szCs w:val="21"/>
        </w:rPr>
        <w:t>地块用地性质为教育科研用地，用地面积4.73公顷，容积率2.0，建筑密度≤30%，绿地率≥30%，建筑限高8</w:t>
      </w:r>
      <w:r>
        <w:rPr>
          <w:rFonts w:ascii="宋体" w:eastAsia="宋体"/>
          <w:szCs w:val="21"/>
        </w:rPr>
        <w:t>0</w:t>
      </w:r>
      <w:r>
        <w:rPr>
          <w:rFonts w:hint="eastAsia" w:ascii="宋体" w:eastAsia="宋体"/>
          <w:szCs w:val="21"/>
        </w:rPr>
        <w:t>米。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WD-</w:t>
      </w:r>
      <w:r>
        <w:rPr>
          <w:rFonts w:ascii="宋体" w:eastAsia="宋体"/>
          <w:szCs w:val="21"/>
        </w:rPr>
        <w:t>15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02</w:t>
      </w:r>
      <w:r>
        <w:rPr>
          <w:rFonts w:hint="eastAsia" w:ascii="宋体" w:eastAsia="宋体"/>
          <w:szCs w:val="21"/>
        </w:rPr>
        <w:t>-</w:t>
      </w:r>
      <w:r>
        <w:rPr>
          <w:rFonts w:ascii="宋体" w:eastAsia="宋体"/>
          <w:szCs w:val="21"/>
        </w:rPr>
        <w:t>11</w:t>
      </w:r>
      <w:r>
        <w:rPr>
          <w:rFonts w:hint="eastAsia" w:ascii="宋体" w:eastAsia="宋体"/>
          <w:szCs w:val="21"/>
        </w:rPr>
        <w:t>地块用地性质为教育科研用地，用地面积</w:t>
      </w:r>
      <w:r>
        <w:rPr>
          <w:rFonts w:ascii="宋体" w:eastAsia="宋体"/>
          <w:szCs w:val="21"/>
        </w:rPr>
        <w:t>1.68</w:t>
      </w:r>
      <w:r>
        <w:rPr>
          <w:rFonts w:hint="eastAsia" w:ascii="宋体" w:eastAsia="宋体"/>
          <w:szCs w:val="21"/>
        </w:rPr>
        <w:t>公顷，容积率2.0，建筑密度≤30%，绿地率≥30%，建筑限高8</w:t>
      </w:r>
      <w:r>
        <w:rPr>
          <w:rFonts w:ascii="宋体" w:eastAsia="宋体"/>
          <w:szCs w:val="21"/>
        </w:rPr>
        <w:t>0</w:t>
      </w:r>
      <w:r>
        <w:rPr>
          <w:rFonts w:hint="eastAsia" w:ascii="宋体" w:eastAsia="宋体"/>
          <w:szCs w:val="21"/>
        </w:rPr>
        <w:t>米。</w:t>
      </w:r>
    </w:p>
    <w:p>
      <w:pPr>
        <w:spacing w:line="360" w:lineRule="auto"/>
        <w:ind w:firstLine="422" w:firstLineChars="200"/>
        <w:rPr>
          <w:rFonts w:ascii="宋体" w:eastAsia="宋体"/>
          <w:b/>
          <w:szCs w:val="21"/>
        </w:rPr>
      </w:pPr>
      <w:r>
        <w:rPr>
          <w:rFonts w:hint="eastAsia" w:ascii="宋体" w:eastAsia="宋体"/>
          <w:b/>
          <w:szCs w:val="21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-301625</wp:posOffset>
            </wp:positionH>
            <wp:positionV relativeFrom="paragraph">
              <wp:posOffset>344805</wp:posOffset>
            </wp:positionV>
            <wp:extent cx="6162675" cy="386207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5872" b="5548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86207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b/>
          <w:szCs w:val="21"/>
        </w:rPr>
        <w:t>三、地块</w:t>
      </w:r>
      <w:r>
        <w:rPr>
          <w:rFonts w:ascii="宋体" w:eastAsia="宋体"/>
          <w:b/>
          <w:szCs w:val="21"/>
        </w:rPr>
        <w:t>细则图则</w:t>
      </w:r>
    </w:p>
    <w:p/>
    <w:p/>
    <w:p>
      <w:pPr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 xml:space="preserve">   </w:t>
      </w:r>
    </w:p>
    <w:p>
      <w:pPr>
        <w:rPr>
          <w:rFonts w:ascii="宋体" w:eastAsia="宋体"/>
          <w:szCs w:val="21"/>
        </w:rPr>
      </w:pPr>
    </w:p>
    <w:p>
      <w:pPr>
        <w:rPr>
          <w:rFonts w:ascii="宋体" w:eastAsia="宋体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金山云技术体">
    <w:altName w:val="金山云技术体"/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YzBjOGQxMDU1MGE5Y2E0M2Y2MzlmNTFmY2MzNjVkNGIifQ=="/>
  </w:docVars>
  <w:rsids>
    <w:rsidRoot w:val="00000000"/>
    <w:rsid w:val="18E1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uiPriority w:val="0"/>
    <w:pPr>
      <w:ind w:left="1680"/>
    </w:pPr>
  </w:style>
  <w:style w:type="paragraph" w:styleId="6">
    <w:name w:val="toc 3"/>
    <w:basedOn w:val="1"/>
    <w:next w:val="1"/>
    <w:uiPriority w:val="0"/>
    <w:pPr>
      <w:ind w:left="84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0"/>
  </w:style>
  <w:style w:type="paragraph" w:styleId="11">
    <w:name w:val="toc 4"/>
    <w:basedOn w:val="1"/>
    <w:next w:val="1"/>
    <w:uiPriority w:val="0"/>
    <w:pPr>
      <w:ind w:left="1260"/>
    </w:pPr>
  </w:style>
  <w:style w:type="paragraph" w:styleId="12">
    <w:name w:val="toc 2"/>
    <w:basedOn w:val="1"/>
    <w:next w:val="1"/>
    <w:uiPriority w:val="0"/>
    <w:pPr>
      <w:ind w:left="420"/>
    </w:p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6">
    <w:name w:val="Hyperlink"/>
    <w:basedOn w:val="15"/>
    <w:uiPriority w:val="0"/>
    <w:rPr>
      <w:color w:val="0000FF"/>
      <w:u w:val="single"/>
    </w:rPr>
  </w:style>
  <w:style w:type="paragraph" w:styleId="17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592</Words>
  <Characters>745</Characters>
  <Lines>39</Lines>
  <Paragraphs>15</Paragraphs>
  <TotalTime>12</TotalTime>
  <ScaleCrop>false</ScaleCrop>
  <LinksUpToDate>false</LinksUpToDate>
  <CharactersWithSpaces>759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2022-03-29T08:04:00Z</dcterms:created>
  <dc:creator>Microsoft</dc:creator>
  <cp:lastModifiedBy>清心</cp:lastModifiedBy>
  <cp:lastPrinted>2021-07-07T02:02:00Z</cp:lastPrinted>
  <dcterms:modified xsi:type="dcterms:W3CDTF">2023-03-29T07:36:52Z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F764B4EAC8754750BB0CC4F223408822</vt:lpwstr>
  </property>
</Properties>
</file>