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关于《贵阳市中心城区控制性详细规划（细则）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—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组团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顺海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单元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WD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03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-0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2-01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地块规划方案》的公示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</w:t>
      </w:r>
      <w:bookmarkStart w:id="0" w:name="_GoBack"/>
      <w:bookmarkEnd w:id="0"/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-2020年）》（2017年修订）、《贵阳市中心城区控制性详细规划（总则）——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组团》等上位规划，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组织编制完成《贵阳市中心城区控制性详细规划（细则）—乌当组团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顺海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单元WD-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03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-0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2-01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地块规划方案》，根据《中华人民共和国城乡规划法》《贵阳市控制性详细规划管理办法》等相关法律法规和规章要求，现将规划方案主要内容予以公告，广泛征求社会意见。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公告时间：自公告之日起10工作日。</w:t>
      </w:r>
    </w:p>
    <w:p>
      <w:pPr>
        <w:widowControl/>
        <w:shd w:val="clear" w:color="auto" w:fill="FFFFFF"/>
        <w:wordWrap w:val="0"/>
        <w:spacing w:line="480" w:lineRule="atLeast"/>
        <w:ind w:right="600" w:firstLine="480" w:firstLineChars="0"/>
        <w:jc w:val="left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联 系 人：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瞿永祝（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13985576187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）</w:t>
      </w:r>
    </w:p>
    <w:p>
      <w:pPr>
        <w:widowControl/>
        <w:shd w:val="clear" w:color="auto" w:fill="FFFFFF"/>
        <w:wordWrap w:val="0"/>
        <w:spacing w:line="480" w:lineRule="atLeast"/>
        <w:ind w:right="600" w:firstLine="1681" w:firstLineChars="70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李蕊伊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13511962327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传    真：85829384（传真）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instrText xml:space="preserve">HYPERLINK "mailto:1325442033@qq.com"</w:instrTex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1325442033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@qq.com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end"/>
      </w:r>
    </w:p>
    <w:p>
      <w:pPr>
        <w:spacing w:line="360" w:lineRule="auto"/>
        <w:ind w:left="109" w:leftChars="52" w:firstLine="442" w:firstLineChars="100"/>
        <w:jc w:val="center"/>
        <w:rPr>
          <w:rFonts w:ascii="宋体" w:eastAsia="宋体"/>
          <w:b/>
          <w:sz w:val="44"/>
          <w:szCs w:val="44"/>
        </w:rPr>
      </w:pPr>
    </w:p>
    <w:p>
      <w:pPr>
        <w:widowControl/>
        <w:shd w:val="clear" w:color="auto" w:fill="FFFFFF"/>
        <w:wordWrap w:val="0"/>
        <w:spacing w:line="480" w:lineRule="atLeast"/>
        <w:ind w:left="0" w:leftChars="0" w:firstLine="5585" w:firstLineChars="2326"/>
        <w:jc w:val="left"/>
        <w:rPr>
          <w:rFonts w:hint="eastAsia" w:asci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乌当区人民政府</w:t>
      </w:r>
    </w:p>
    <w:p>
      <w:pPr>
        <w:widowControl/>
        <w:shd w:val="clear" w:color="auto" w:fill="FFFFFF"/>
        <w:wordWrap w:val="0"/>
        <w:spacing w:line="480" w:lineRule="atLeast"/>
        <w:ind w:left="0" w:leftChars="0" w:firstLine="5345" w:firstLineChars="2226"/>
        <w:jc w:val="left"/>
        <w:rPr>
          <w:rFonts w:hint="eastAsia" w:asci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2022年10月11日</w:t>
      </w:r>
    </w:p>
    <w:p>
      <w:pPr>
        <w:spacing w:line="360" w:lineRule="auto"/>
        <w:ind w:left="109" w:leftChars="52" w:firstLine="442" w:firstLineChars="100"/>
        <w:jc w:val="center"/>
        <w:rPr>
          <w:rFonts w:ascii="宋体" w:eastAsia="宋体"/>
          <w:b/>
          <w:sz w:val="44"/>
          <w:szCs w:val="44"/>
        </w:rPr>
      </w:pPr>
    </w:p>
    <w:p>
      <w:pPr>
        <w:spacing w:line="360" w:lineRule="auto"/>
        <w:ind w:left="109" w:leftChars="52" w:firstLine="442" w:firstLineChars="100"/>
        <w:jc w:val="center"/>
        <w:rPr>
          <w:rFonts w:ascii="宋体" w:eastAsia="宋体"/>
          <w:b/>
          <w:sz w:val="44"/>
          <w:szCs w:val="44"/>
        </w:rPr>
      </w:pPr>
    </w:p>
    <w:p>
      <w:pPr>
        <w:spacing w:line="360" w:lineRule="auto"/>
        <w:ind w:left="109" w:leftChars="52" w:firstLine="442" w:firstLineChars="100"/>
        <w:jc w:val="center"/>
        <w:rPr>
          <w:rFonts w:ascii="宋体" w:eastAsia="宋体"/>
          <w:b/>
          <w:sz w:val="44"/>
          <w:szCs w:val="44"/>
        </w:rPr>
      </w:pPr>
    </w:p>
    <w:p>
      <w:pPr>
        <w:spacing w:line="360" w:lineRule="auto"/>
        <w:jc w:val="both"/>
        <w:rPr>
          <w:rFonts w:ascii="宋体" w:eastAsia="宋体"/>
          <w:b/>
          <w:sz w:val="44"/>
          <w:szCs w:val="44"/>
        </w:rPr>
      </w:pPr>
    </w:p>
    <w:p>
      <w:pPr>
        <w:snapToGrid w:val="0"/>
        <w:spacing w:line="360" w:lineRule="auto"/>
        <w:contextualSpacing/>
        <w:rPr>
          <w:rFonts w:hint="eastAsia" w:ascii="宋体" w:eastAsia="宋体"/>
          <w:b/>
          <w:bCs/>
          <w:sz w:val="28"/>
          <w:szCs w:val="28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t>第一章 导则解读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 xml:space="preserve">第一条 </w:t>
      </w:r>
      <w:r>
        <w:rPr>
          <w:rFonts w:ascii="宋体" w:eastAsia="宋体"/>
          <w:b/>
          <w:bCs/>
          <w:szCs w:val="21"/>
        </w:rPr>
        <w:t xml:space="preserve"> </w:t>
      </w:r>
      <w:r>
        <w:rPr>
          <w:rFonts w:hint="eastAsia" w:ascii="宋体" w:eastAsia="宋体"/>
          <w:b/>
          <w:bCs/>
          <w:szCs w:val="21"/>
        </w:rPr>
        <w:t>地块边界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规划边界北以北部自然山体为界，西依水东路，南接云岩区未来方舟；地块用地面积123.53公顷。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第二条 道路交通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道路体系为：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主干道：航天路；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支路：规划支路。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第三条 规划</w:t>
      </w:r>
      <w:r>
        <w:rPr>
          <w:rFonts w:ascii="宋体" w:eastAsia="宋体"/>
          <w:b/>
          <w:bCs/>
          <w:szCs w:val="21"/>
        </w:rPr>
        <w:t>重要设施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根据顺海单元导则，地块规划重要设施如下：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公共服务设施：社会停车场1处；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1、城市绿线规划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地块城市绿线包括：</w:t>
      </w:r>
    </w:p>
    <w:p>
      <w:pPr>
        <w:snapToGrid w:val="0"/>
        <w:spacing w:line="360" w:lineRule="auto"/>
        <w:ind w:left="42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航天路防护绿地：用地面积共</w:t>
      </w:r>
      <w:r>
        <w:rPr>
          <w:rFonts w:ascii="宋体" w:eastAsia="宋体"/>
          <w:szCs w:val="21"/>
        </w:rPr>
        <w:t>0.07</w:t>
      </w:r>
      <w:r>
        <w:rPr>
          <w:rFonts w:hint="eastAsia" w:ascii="宋体" w:eastAsia="宋体"/>
          <w:szCs w:val="21"/>
        </w:rPr>
        <w:t>公顷，以实线控制。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第五条 地块</w:t>
      </w:r>
      <w:r>
        <w:rPr>
          <w:rFonts w:ascii="宋体" w:eastAsia="宋体"/>
          <w:b/>
          <w:bCs/>
          <w:szCs w:val="21"/>
        </w:rPr>
        <w:t>容量</w:t>
      </w:r>
    </w:p>
    <w:p>
      <w:pPr>
        <w:snapToGrid w:val="0"/>
        <w:spacing w:line="360" w:lineRule="auto"/>
        <w:ind w:firstLine="420" w:firstLineChars="200"/>
        <w:contextualSpacing/>
        <w:jc w:val="left"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地块用地面积</w:t>
      </w:r>
      <w:r>
        <w:rPr>
          <w:rFonts w:ascii="宋体" w:eastAsia="宋体"/>
          <w:szCs w:val="21"/>
        </w:rPr>
        <w:t>0.19</w:t>
      </w:r>
      <w:r>
        <w:rPr>
          <w:rFonts w:hint="eastAsia" w:ascii="宋体" w:eastAsia="宋体"/>
          <w:szCs w:val="21"/>
        </w:rPr>
        <w:t>公顷，建设容量控制在</w:t>
      </w:r>
      <w:r>
        <w:rPr>
          <w:rFonts w:ascii="宋体" w:eastAsia="宋体"/>
          <w:szCs w:val="21"/>
        </w:rPr>
        <w:t>0.29</w:t>
      </w:r>
      <w:r>
        <w:rPr>
          <w:rFonts w:hint="eastAsia" w:ascii="宋体" w:eastAsia="宋体"/>
          <w:szCs w:val="21"/>
        </w:rPr>
        <w:t>万㎡，综合容积率为</w:t>
      </w:r>
      <w:r>
        <w:rPr>
          <w:rFonts w:ascii="宋体" w:eastAsia="宋体"/>
          <w:szCs w:val="21"/>
        </w:rPr>
        <w:t>1.52</w:t>
      </w:r>
      <w:r>
        <w:rPr>
          <w:rFonts w:hint="eastAsia" w:ascii="宋体" w:eastAsia="宋体"/>
          <w:szCs w:val="21"/>
        </w:rPr>
        <w:t>，规划人口</w:t>
      </w:r>
      <w:r>
        <w:rPr>
          <w:rFonts w:ascii="宋体" w:eastAsia="宋体"/>
          <w:szCs w:val="21"/>
        </w:rPr>
        <w:t>0</w:t>
      </w:r>
      <w:r>
        <w:rPr>
          <w:rFonts w:hint="eastAsia" w:ascii="宋体" w:eastAsia="宋体"/>
          <w:szCs w:val="21"/>
        </w:rPr>
        <w:t>人。</w:t>
      </w:r>
    </w:p>
    <w:tbl>
      <w:tblPr>
        <w:tblStyle w:val="14"/>
        <w:tblpPr w:leftFromText="180" w:rightFromText="180" w:vertAnchor="text" w:horzAnchor="page" w:tblpX="6442" w:tblpY="53"/>
        <w:tblW w:w="26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542"/>
        <w:gridCol w:w="530"/>
        <w:gridCol w:w="534"/>
        <w:gridCol w:w="536"/>
        <w:gridCol w:w="534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000" w:type="pct"/>
            <w:gridSpan w:val="7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ind w:firstLine="400" w:firstLineChars="200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20"/>
                <w:szCs w:val="21"/>
              </w:rPr>
              <w:t>地块容量控制指标一览表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9" w:type="pct"/>
            <w:vMerge w:val="restart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地块编号</w:t>
            </w:r>
          </w:p>
        </w:tc>
        <w:tc>
          <w:tcPr>
            <w:tcW w:w="710" w:type="pct"/>
            <w:vMerge w:val="restart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b/>
                <w:bCs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总用地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面积（ha）</w:t>
            </w:r>
          </w:p>
        </w:tc>
        <w:tc>
          <w:tcPr>
            <w:tcW w:w="3581" w:type="pct"/>
            <w:gridSpan w:val="5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规划指标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709" w:type="pct"/>
            <w:vMerge w:val="continue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vAlign w:val="center"/>
          </w:tcPr>
          <w:p/>
        </w:tc>
        <w:tc>
          <w:tcPr>
            <w:tcW w:w="710" w:type="pct"/>
            <w:vMerge w:val="continue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vAlign w:val="center"/>
          </w:tcPr>
          <w:p/>
        </w:tc>
        <w:tc>
          <w:tcPr>
            <w:tcW w:w="712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建设用地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（公顷）</w:t>
            </w:r>
          </w:p>
        </w:tc>
        <w:tc>
          <w:tcPr>
            <w:tcW w:w="708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建设容量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（万</w:t>
            </w:r>
            <w:r>
              <w:rPr>
                <w:rFonts w:hint="eastAsia" w:ascii="Batang" w:hAnsi="Batang" w:eastAsia="Batang" w:cs="Batang"/>
                <w:b/>
                <w:bCs/>
                <w:sz w:val="16"/>
                <w:szCs w:val="18"/>
              </w:rPr>
              <w:t>㎡</w:t>
            </w:r>
            <w:r>
              <w:rPr>
                <w:rFonts w:hint="eastAsia" w:ascii="微软雅黑" w:eastAsia="微软雅黑" w:cs="微软雅黑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711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人口规模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（人）</w:t>
            </w:r>
          </w:p>
        </w:tc>
        <w:tc>
          <w:tcPr>
            <w:tcW w:w="708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b/>
                <w:bCs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综合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容积率</w:t>
            </w:r>
          </w:p>
        </w:tc>
        <w:tc>
          <w:tcPr>
            <w:tcW w:w="74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建筑高度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6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6"/>
                <w:szCs w:val="1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09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WD-</w:t>
            </w: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03</w:t>
            </w: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-0</w:t>
            </w: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2-01</w:t>
            </w:r>
          </w:p>
        </w:tc>
        <w:tc>
          <w:tcPr>
            <w:tcW w:w="710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0.19</w:t>
            </w:r>
          </w:p>
        </w:tc>
        <w:tc>
          <w:tcPr>
            <w:tcW w:w="712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0.19</w:t>
            </w:r>
          </w:p>
        </w:tc>
        <w:tc>
          <w:tcPr>
            <w:tcW w:w="708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0.29</w:t>
            </w:r>
          </w:p>
        </w:tc>
        <w:tc>
          <w:tcPr>
            <w:tcW w:w="711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708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1.52</w:t>
            </w:r>
          </w:p>
        </w:tc>
        <w:tc>
          <w:tcPr>
            <w:tcW w:w="743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24</w:t>
            </w:r>
          </w:p>
        </w:tc>
      </w:tr>
    </w:tbl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t>第二章 规划细则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第六条 土地使用规划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b/>
          <w:szCs w:val="21"/>
        </w:rPr>
      </w:pPr>
      <w:r>
        <w:rPr>
          <w:rFonts w:hint="eastAsia" w:ascii="宋体" w:eastAsia="宋体"/>
          <w:szCs w:val="21"/>
        </w:rPr>
        <w:t>地块总用地面积为</w:t>
      </w:r>
      <w:r>
        <w:rPr>
          <w:rFonts w:ascii="宋体" w:eastAsia="宋体"/>
          <w:szCs w:val="21"/>
        </w:rPr>
        <w:t>0.19</w:t>
      </w:r>
      <w:r>
        <w:rPr>
          <w:rFonts w:hint="eastAsia" w:ascii="宋体" w:eastAsia="宋体"/>
          <w:szCs w:val="21"/>
        </w:rPr>
        <w:t>公顷，建设用地面积</w:t>
      </w:r>
      <w:r>
        <w:rPr>
          <w:rFonts w:ascii="宋体" w:eastAsia="宋体"/>
          <w:szCs w:val="21"/>
        </w:rPr>
        <w:t>0.19</w:t>
      </w:r>
      <w:r>
        <w:rPr>
          <w:rFonts w:hint="eastAsia" w:ascii="宋体" w:eastAsia="宋体"/>
          <w:szCs w:val="21"/>
        </w:rPr>
        <w:t>公顷。</w:t>
      </w:r>
    </w:p>
    <w:p>
      <w:pPr>
        <w:snapToGrid w:val="0"/>
        <w:spacing w:line="360" w:lineRule="auto"/>
        <w:contextualSpacing/>
        <w:jc w:val="center"/>
        <w:rPr>
          <w:rFonts w:ascii="宋体" w:eastAsia="宋体"/>
          <w:b/>
          <w:bCs/>
          <w:szCs w:val="21"/>
        </w:rPr>
      </w:pPr>
      <w:r>
        <w:rPr>
          <w:rFonts w:ascii="宋体" w:eastAsia="宋体"/>
          <w:b/>
          <w:bCs/>
          <w:szCs w:val="21"/>
        </w:rPr>
        <w:drawing>
          <wp:inline distT="0" distB="0" distL="0" distR="0">
            <wp:extent cx="3647440" cy="3825240"/>
            <wp:effectExtent l="0" t="0" r="8" b="37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382524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第七条 开发控制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规划总建筑量</w:t>
      </w:r>
      <w:r>
        <w:rPr>
          <w:rFonts w:ascii="宋体" w:eastAsia="宋体"/>
          <w:szCs w:val="21"/>
        </w:rPr>
        <w:t>0.10</w:t>
      </w:r>
      <w:r>
        <w:rPr>
          <w:rFonts w:hint="eastAsia" w:ascii="宋体" w:eastAsia="宋体"/>
          <w:szCs w:val="21"/>
        </w:rPr>
        <w:t>万平方米，其中居住建筑总量</w:t>
      </w:r>
      <w:r>
        <w:rPr>
          <w:rFonts w:ascii="宋体" w:eastAsia="宋体"/>
          <w:szCs w:val="21"/>
        </w:rPr>
        <w:t>0.29</w:t>
      </w:r>
      <w:r>
        <w:rPr>
          <w:rFonts w:hint="eastAsia" w:ascii="宋体" w:eastAsia="宋体"/>
          <w:szCs w:val="21"/>
        </w:rPr>
        <w:t>万平方米0，居住人口</w:t>
      </w:r>
      <w:r>
        <w:rPr>
          <w:rFonts w:ascii="宋体" w:eastAsia="宋体"/>
          <w:szCs w:val="21"/>
        </w:rPr>
        <w:t>0</w:t>
      </w:r>
      <w:r>
        <w:rPr>
          <w:rFonts w:hint="eastAsia" w:ascii="宋体" w:eastAsia="宋体"/>
          <w:szCs w:val="21"/>
        </w:rPr>
        <w:t>人。</w:t>
      </w:r>
    </w:p>
    <w:tbl>
      <w:tblPr>
        <w:tblStyle w:val="14"/>
        <w:tblW w:w="44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177"/>
        <w:gridCol w:w="1029"/>
        <w:gridCol w:w="1176"/>
        <w:gridCol w:w="1176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地块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编号</w:t>
            </w:r>
          </w:p>
        </w:tc>
        <w:tc>
          <w:tcPr>
            <w:tcW w:w="7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66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建设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总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建筑量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（万平方米）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b/>
                <w:bCs/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建筑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总量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（万平方米）</w:t>
            </w:r>
          </w:p>
        </w:tc>
        <w:tc>
          <w:tcPr>
            <w:tcW w:w="62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人口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66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6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</w:pPr>
            <w:r>
              <w:rPr>
                <w:rFonts w:hint="eastAsia"/>
              </w:rPr>
              <w:t>WD-</w:t>
            </w:r>
            <w:r>
              <w:t>03</w:t>
            </w:r>
            <w:r>
              <w:rPr>
                <w:rFonts w:hint="eastAsia"/>
              </w:rPr>
              <w:t>-0</w:t>
            </w:r>
            <w:r>
              <w:t>2-01</w:t>
            </w: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0.19</w:t>
            </w:r>
          </w:p>
        </w:tc>
        <w:tc>
          <w:tcPr>
            <w:tcW w:w="6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0.19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0.29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6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  <w:t>0</w:t>
            </w:r>
          </w:p>
        </w:tc>
      </w:tr>
    </w:tbl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第八条 地块细则</w:t>
      </w:r>
    </w:p>
    <w:p>
      <w:pPr>
        <w:ind w:firstLine="420" w:firstLineChars="200"/>
        <w:rPr>
          <w:rFonts w:ascii="宋体" w:eastAsia="宋体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7209790" cy="5100955"/>
            <wp:effectExtent l="0" t="0" r="0" b="0"/>
            <wp:wrapTight wrapText="bothSides">
              <wp:wrapPolygon>
                <wp:start x="-11" y="0"/>
                <wp:lineTo x="-11" y="21577"/>
                <wp:lineTo x="21590" y="21577"/>
                <wp:lineTo x="21590" y="0"/>
                <wp:lineTo x="-11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9790" cy="510095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Cs w:val="21"/>
        </w:rPr>
        <w:t>本次地块</w:t>
      </w:r>
      <w:r>
        <w:rPr>
          <w:rFonts w:ascii="宋体" w:eastAsia="宋体"/>
          <w:szCs w:val="21"/>
        </w:rPr>
        <w:t>细则图则</w:t>
      </w:r>
      <w:r>
        <w:rPr>
          <w:rFonts w:hint="eastAsia" w:ascii="宋体" w:eastAsia="宋体"/>
          <w:szCs w:val="21"/>
        </w:rPr>
        <w:t>如下：</w:t>
      </w:r>
    </w:p>
    <w:p>
      <w:pPr>
        <w:rPr>
          <w:rFonts w:ascii="宋体" w:eastAsia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zBjOGQxMDU1MGE5Y2E0M2Y2MzlmNTFmY2MzNjVkNGIifQ=="/>
  </w:docVars>
  <w:rsids>
    <w:rsidRoot w:val="00000000"/>
    <w:rsid w:val="055211FA"/>
    <w:rsid w:val="1244398C"/>
    <w:rsid w:val="129A3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739</Words>
  <Characters>903</Characters>
  <Lines>113</Lines>
  <Paragraphs>77</Paragraphs>
  <TotalTime>6</TotalTime>
  <ScaleCrop>false</ScaleCrop>
  <LinksUpToDate>false</LinksUpToDate>
  <CharactersWithSpaces>921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2020-05-27T08:47:00Z</dcterms:created>
  <dc:creator>Microsoft</dc:creator>
  <cp:lastModifiedBy>清心</cp:lastModifiedBy>
  <cp:lastPrinted>2021-07-07T02:02:00Z</cp:lastPrinted>
  <dcterms:modified xsi:type="dcterms:W3CDTF">2022-10-11T03:03:30Z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F764B4EAC8754750BB0CC4F223408822</vt:lpwstr>
  </property>
</Properties>
</file>