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2020年白云区</w:t>
      </w:r>
      <w:r>
        <w:rPr>
          <w:rFonts w:hint="eastAsia" w:ascii="方正小标宋简体" w:hAnsi="黑体" w:eastAsia="方正小标宋简体" w:cs="仿宋"/>
          <w:color w:val="333333"/>
          <w:sz w:val="44"/>
          <w:szCs w:val="44"/>
        </w:rPr>
        <w:t>各乡（镇、街道）</w:t>
      </w:r>
      <w:r>
        <w:rPr>
          <w:rFonts w:hint="eastAsia" w:ascii="方正小标宋简体" w:hAnsi="黑体" w:eastAsia="方正小标宋简体" w:cs="黑体"/>
          <w:sz w:val="44"/>
          <w:szCs w:val="44"/>
        </w:rPr>
        <w:t>、区属各有关部门法治政府建设</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（依法行政）考核指标</w:t>
      </w:r>
    </w:p>
    <w:tbl>
      <w:tblPr>
        <w:tblStyle w:val="6"/>
        <w:tblW w:w="14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3052"/>
        <w:gridCol w:w="6804"/>
        <w:gridCol w:w="876"/>
        <w:gridCol w:w="1029"/>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6" w:hRule="atLeast"/>
        </w:trPr>
        <w:tc>
          <w:tcPr>
            <w:tcW w:w="187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考核指标</w:t>
            </w:r>
          </w:p>
        </w:tc>
        <w:tc>
          <w:tcPr>
            <w:tcW w:w="3052"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考核内容</w:t>
            </w:r>
          </w:p>
        </w:tc>
        <w:tc>
          <w:tcPr>
            <w:tcW w:w="680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评分标准</w:t>
            </w:r>
          </w:p>
        </w:tc>
        <w:tc>
          <w:tcPr>
            <w:tcW w:w="87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考核分值</w:t>
            </w:r>
          </w:p>
        </w:tc>
        <w:tc>
          <w:tcPr>
            <w:tcW w:w="102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考核得分</w:t>
            </w:r>
          </w:p>
        </w:tc>
        <w:tc>
          <w:tcPr>
            <w:tcW w:w="654"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95" w:hRule="atLeast"/>
        </w:trPr>
        <w:tc>
          <w:tcPr>
            <w:tcW w:w="1876" w:type="dxa"/>
            <w:vMerge w:val="restart"/>
            <w:vAlign w:val="center"/>
          </w:tcPr>
          <w:p>
            <w:pPr>
              <w:jc w:val="center"/>
              <w:rPr>
                <w:rFonts w:hint="eastAsia" w:ascii="仿宋" w:hAnsi="仿宋" w:eastAsia="仿宋" w:cs="仿宋"/>
                <w:sz w:val="32"/>
                <w:szCs w:val="32"/>
              </w:rPr>
            </w:pPr>
            <w:r>
              <w:rPr>
                <w:rFonts w:hint="eastAsia" w:ascii="仿宋" w:hAnsi="仿宋" w:eastAsia="仿宋" w:cs="仿宋"/>
                <w:b/>
                <w:bCs/>
                <w:sz w:val="32"/>
                <w:szCs w:val="32"/>
              </w:rPr>
              <w:t>一、推进法治建设（15分）</w:t>
            </w:r>
          </w:p>
        </w:tc>
        <w:tc>
          <w:tcPr>
            <w:tcW w:w="3052" w:type="dxa"/>
            <w:vAlign w:val="center"/>
          </w:tcPr>
          <w:p>
            <w:pPr>
              <w:jc w:val="left"/>
              <w:rPr>
                <w:rFonts w:hint="eastAsia" w:ascii="仿宋" w:hAnsi="仿宋" w:eastAsia="仿宋" w:cs="仿宋"/>
                <w:sz w:val="32"/>
                <w:szCs w:val="32"/>
              </w:rPr>
            </w:pPr>
            <w:r>
              <w:rPr>
                <w:rFonts w:hint="eastAsia" w:ascii="仿宋" w:hAnsi="仿宋" w:eastAsia="仿宋" w:cs="仿宋"/>
                <w:szCs w:val="21"/>
              </w:rPr>
              <w:t>1、制定本辖区年度依法行政工作要点或计划并明确专人负责统筹工作（工作要点发布后20日内将专人名单和联系方式报区司法局302室，联系电话：84862145）</w:t>
            </w:r>
          </w:p>
        </w:tc>
        <w:tc>
          <w:tcPr>
            <w:tcW w:w="6804"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印发年度依法行政工作要点或计划(2分)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根据本部门自身职责落实依法行政工作并明确专人承担统筹工作（2分）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rPr>
                <w:rFonts w:hint="eastAsia" w:ascii="宋体" w:hAnsi="宋体" w:cs="宋体"/>
              </w:rPr>
              <w:t>③</w:t>
            </w:r>
            <w:r>
              <w:rPr>
                <w:rFonts w:hint="eastAsia" w:ascii="仿宋" w:hAnsi="仿宋" w:eastAsia="仿宋" w:cs="仿宋"/>
                <w:szCs w:val="21"/>
              </w:rPr>
              <w:fldChar w:fldCharType="end"/>
            </w:r>
            <w:r>
              <w:rPr>
                <w:rFonts w:hint="eastAsia" w:ascii="仿宋" w:hAnsi="仿宋" w:eastAsia="仿宋" w:cs="仿宋"/>
                <w:szCs w:val="21"/>
              </w:rPr>
              <w:t>每年12月20前向区政府（区司法局）报送年度依法行政工作报告（2分）</w:t>
            </w:r>
          </w:p>
        </w:tc>
        <w:tc>
          <w:tcPr>
            <w:tcW w:w="87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1029" w:type="dxa"/>
            <w:vAlign w:val="center"/>
          </w:tcPr>
          <w:p>
            <w:pPr>
              <w:jc w:val="center"/>
              <w:rPr>
                <w:rFonts w:hint="eastAsia" w:ascii="仿宋" w:hAnsi="仿宋" w:eastAsia="仿宋" w:cs="仿宋"/>
                <w:sz w:val="32"/>
                <w:szCs w:val="32"/>
              </w:rPr>
            </w:pPr>
          </w:p>
        </w:tc>
        <w:tc>
          <w:tcPr>
            <w:tcW w:w="654"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atLeast"/>
        </w:trPr>
        <w:tc>
          <w:tcPr>
            <w:tcW w:w="1876" w:type="dxa"/>
            <w:vMerge w:val="continue"/>
            <w:vAlign w:val="center"/>
          </w:tcPr>
          <w:p>
            <w:pPr>
              <w:jc w:val="center"/>
              <w:rPr>
                <w:rFonts w:hint="eastAsia" w:ascii="仿宋" w:hAnsi="仿宋" w:eastAsia="仿宋" w:cs="仿宋"/>
                <w:sz w:val="32"/>
                <w:szCs w:val="32"/>
              </w:rPr>
            </w:pPr>
          </w:p>
        </w:tc>
        <w:tc>
          <w:tcPr>
            <w:tcW w:w="3052" w:type="dxa"/>
            <w:vAlign w:val="center"/>
          </w:tcPr>
          <w:p>
            <w:pPr>
              <w:rPr>
                <w:rFonts w:hint="eastAsia" w:ascii="仿宋" w:hAnsi="仿宋" w:eastAsia="仿宋" w:cs="仿宋"/>
                <w:sz w:val="32"/>
                <w:szCs w:val="32"/>
              </w:rPr>
            </w:pPr>
            <w:r>
              <w:rPr>
                <w:rFonts w:hint="eastAsia" w:ascii="仿宋" w:hAnsi="仿宋" w:eastAsia="仿宋" w:cs="仿宋"/>
                <w:szCs w:val="21"/>
              </w:rPr>
              <w:t>2、强化法治政府建设（依法行政）考核工作职责(考核资料留存备查)</w:t>
            </w:r>
          </w:p>
        </w:tc>
        <w:tc>
          <w:tcPr>
            <w:tcW w:w="6804"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单独针对本单位内部有依法行政职责的机构开展考核（2分）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单独针对本单位有行政执法责任的人员开展考核（2分）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rPr>
                <w:rFonts w:hint="eastAsia" w:ascii="宋体" w:hAnsi="宋体" w:cs="宋体"/>
              </w:rPr>
              <w:t>③</w:t>
            </w:r>
            <w:r>
              <w:rPr>
                <w:rFonts w:hint="eastAsia" w:ascii="仿宋" w:hAnsi="仿宋" w:eastAsia="仿宋" w:cs="仿宋"/>
                <w:szCs w:val="21"/>
              </w:rPr>
              <w:fldChar w:fldCharType="end"/>
            </w:r>
            <w:r>
              <w:rPr>
                <w:rFonts w:hint="eastAsia" w:ascii="仿宋" w:hAnsi="仿宋" w:eastAsia="仿宋" w:cs="仿宋"/>
                <w:szCs w:val="21"/>
              </w:rPr>
              <w:t>将考核结果作为本单位内部机构工作评价的重要依据（1分）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4 \* GB3 \* MERGEFORMAT </w:instrText>
            </w:r>
            <w:r>
              <w:rPr>
                <w:rFonts w:hint="eastAsia" w:ascii="仿宋" w:hAnsi="仿宋" w:eastAsia="仿宋" w:cs="仿宋"/>
                <w:szCs w:val="21"/>
              </w:rPr>
              <w:fldChar w:fldCharType="separate"/>
            </w:r>
            <w:r>
              <w:rPr>
                <w:rFonts w:hint="eastAsia" w:ascii="宋体" w:hAnsi="宋体" w:cs="宋体"/>
              </w:rPr>
              <w:t>④</w:t>
            </w:r>
            <w:r>
              <w:rPr>
                <w:rFonts w:hint="eastAsia" w:ascii="仿宋" w:hAnsi="仿宋" w:eastAsia="仿宋" w:cs="仿宋"/>
                <w:szCs w:val="21"/>
              </w:rPr>
              <w:fldChar w:fldCharType="end"/>
            </w:r>
            <w:r>
              <w:rPr>
                <w:rFonts w:hint="eastAsia" w:ascii="仿宋" w:hAnsi="仿宋" w:eastAsia="仿宋" w:cs="仿宋"/>
                <w:szCs w:val="21"/>
              </w:rPr>
              <w:t>将考核结果作为本单位执法人员工作评价、晋升的重要依据（1分）</w:t>
            </w:r>
          </w:p>
        </w:tc>
        <w:tc>
          <w:tcPr>
            <w:tcW w:w="87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1029" w:type="dxa"/>
            <w:vAlign w:val="center"/>
          </w:tcPr>
          <w:p>
            <w:pPr>
              <w:jc w:val="center"/>
              <w:rPr>
                <w:rFonts w:hint="eastAsia" w:ascii="仿宋" w:hAnsi="仿宋" w:eastAsia="仿宋" w:cs="仿宋"/>
                <w:sz w:val="32"/>
                <w:szCs w:val="32"/>
              </w:rPr>
            </w:pPr>
          </w:p>
        </w:tc>
        <w:tc>
          <w:tcPr>
            <w:tcW w:w="654"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1876" w:type="dxa"/>
            <w:vMerge w:val="continue"/>
            <w:vAlign w:val="center"/>
          </w:tcPr>
          <w:p>
            <w:pPr>
              <w:jc w:val="center"/>
              <w:rPr>
                <w:rFonts w:hint="eastAsia" w:ascii="仿宋" w:hAnsi="仿宋" w:eastAsia="仿宋" w:cs="仿宋"/>
                <w:sz w:val="32"/>
                <w:szCs w:val="32"/>
              </w:rPr>
            </w:pPr>
          </w:p>
        </w:tc>
        <w:tc>
          <w:tcPr>
            <w:tcW w:w="3052" w:type="dxa"/>
            <w:vAlign w:val="center"/>
          </w:tcPr>
          <w:p>
            <w:pPr>
              <w:rPr>
                <w:rFonts w:hint="eastAsia" w:ascii="仿宋" w:hAnsi="仿宋" w:eastAsia="仿宋" w:cs="仿宋"/>
                <w:szCs w:val="21"/>
              </w:rPr>
            </w:pPr>
            <w:r>
              <w:rPr>
                <w:rFonts w:hint="eastAsia" w:ascii="仿宋" w:hAnsi="仿宋" w:eastAsia="仿宋" w:cs="仿宋"/>
                <w:szCs w:val="21"/>
              </w:rPr>
              <w:t>3、开展法制宣传以及法制培训（讲座）</w:t>
            </w:r>
          </w:p>
        </w:tc>
        <w:tc>
          <w:tcPr>
            <w:tcW w:w="6804" w:type="dxa"/>
            <w:vAlign w:val="center"/>
          </w:tcPr>
          <w:p>
            <w:pPr>
              <w:rPr>
                <w:rFonts w:hint="eastAsia" w:ascii="仿宋" w:hAnsi="仿宋" w:eastAsia="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szCs w:val="21"/>
              </w:rPr>
              <w:t>制定年度法律宣传计划，年内组织开展法律法规宣传活动任务（1分）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制定年度培训学习计划（专题讲座），参加上级有关培训（2分）</w:t>
            </w:r>
          </w:p>
        </w:tc>
        <w:tc>
          <w:tcPr>
            <w:tcW w:w="87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3</w:t>
            </w:r>
          </w:p>
        </w:tc>
        <w:tc>
          <w:tcPr>
            <w:tcW w:w="1029" w:type="dxa"/>
            <w:vAlign w:val="center"/>
          </w:tcPr>
          <w:p>
            <w:pPr>
              <w:jc w:val="center"/>
              <w:rPr>
                <w:rFonts w:hint="eastAsia" w:ascii="仿宋" w:hAnsi="仿宋" w:eastAsia="仿宋" w:cs="仿宋"/>
                <w:sz w:val="32"/>
                <w:szCs w:val="32"/>
              </w:rPr>
            </w:pPr>
          </w:p>
        </w:tc>
        <w:tc>
          <w:tcPr>
            <w:tcW w:w="654" w:type="dxa"/>
            <w:vAlign w:val="center"/>
          </w:tcPr>
          <w:p>
            <w:pPr>
              <w:jc w:val="center"/>
              <w:rPr>
                <w:rFonts w:hint="eastAsia" w:ascii="仿宋" w:hAnsi="仿宋" w:eastAsia="仿宋" w:cs="仿宋"/>
                <w:sz w:val="32"/>
                <w:szCs w:val="32"/>
              </w:rPr>
            </w:pPr>
          </w:p>
        </w:tc>
      </w:tr>
    </w:tbl>
    <w:p>
      <w:pPr>
        <w:rPr>
          <w:rFonts w:hint="eastAsia" w:ascii="仿宋" w:hAnsi="仿宋" w:eastAsia="仿宋" w:cs="仿宋"/>
          <w:sz w:val="32"/>
          <w:szCs w:val="32"/>
        </w:rPr>
      </w:pPr>
    </w:p>
    <w:tbl>
      <w:tblPr>
        <w:tblStyle w:val="6"/>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686"/>
        <w:gridCol w:w="5958"/>
        <w:gridCol w:w="630"/>
        <w:gridCol w:w="808"/>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0" w:hRule="atLeast"/>
        </w:trPr>
        <w:tc>
          <w:tcPr>
            <w:tcW w:w="1809" w:type="dxa"/>
            <w:vMerge w:val="restart"/>
            <w:vAlign w:val="center"/>
          </w:tcPr>
          <w:p>
            <w:pPr>
              <w:jc w:val="center"/>
              <w:rPr>
                <w:rFonts w:hint="eastAsia" w:ascii="仿宋" w:hAnsi="仿宋" w:eastAsia="仿宋" w:cs="仿宋"/>
                <w:sz w:val="32"/>
                <w:szCs w:val="32"/>
              </w:rPr>
            </w:pPr>
            <w:r>
              <w:rPr>
                <w:rFonts w:hint="eastAsia" w:ascii="仿宋" w:hAnsi="仿宋" w:eastAsia="仿宋" w:cs="仿宋"/>
                <w:b/>
                <w:bCs/>
                <w:sz w:val="32"/>
                <w:szCs w:val="32"/>
              </w:rPr>
              <w:t>二、完善决策机制（15分）</w:t>
            </w:r>
          </w:p>
        </w:tc>
        <w:tc>
          <w:tcPr>
            <w:tcW w:w="3686" w:type="dxa"/>
            <w:vAlign w:val="center"/>
          </w:tcPr>
          <w:p>
            <w:pPr>
              <w:rPr>
                <w:rFonts w:hint="eastAsia" w:ascii="仿宋" w:hAnsi="仿宋" w:eastAsia="仿宋" w:cs="仿宋"/>
                <w:szCs w:val="21"/>
              </w:rPr>
            </w:pPr>
          </w:p>
          <w:p>
            <w:pPr>
              <w:rPr>
                <w:rFonts w:hint="eastAsia" w:ascii="仿宋" w:hAnsi="仿宋" w:eastAsia="仿宋" w:cs="仿宋"/>
                <w:sz w:val="32"/>
                <w:szCs w:val="32"/>
              </w:rPr>
            </w:pPr>
            <w:r>
              <w:rPr>
                <w:rFonts w:hint="eastAsia" w:ascii="仿宋" w:hAnsi="仿宋" w:eastAsia="仿宋" w:cs="仿宋"/>
                <w:szCs w:val="21"/>
              </w:rPr>
              <w:t>4、建立并完善本单位重大行政决策机制（工作要点发布后20日内将决策机制报区司法局302室，联系电话：84862145））</w:t>
            </w:r>
          </w:p>
        </w:tc>
        <w:tc>
          <w:tcPr>
            <w:tcW w:w="5958"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界定本单位重大行政决策事项的范围、标准和表决机制（保留不同意见记入档案机制）并在区政府网站、公开栏和有关媒体公布（2分）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落实重大行政决策事项档案资料管理制度（2分）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rPr>
                <w:rFonts w:hint="eastAsia" w:ascii="宋体" w:hAnsi="宋体" w:cs="宋体"/>
              </w:rPr>
              <w:t>③</w:t>
            </w:r>
            <w:r>
              <w:rPr>
                <w:rFonts w:hint="eastAsia" w:ascii="仿宋" w:hAnsi="仿宋" w:eastAsia="仿宋" w:cs="仿宋"/>
                <w:szCs w:val="21"/>
              </w:rPr>
              <w:fldChar w:fldCharType="end"/>
            </w:r>
            <w:r>
              <w:rPr>
                <w:rFonts w:hint="eastAsia" w:ascii="仿宋" w:hAnsi="仿宋" w:eastAsia="仿宋" w:cs="仿宋"/>
                <w:szCs w:val="21"/>
              </w:rPr>
              <w:t>对重大行政决策实施情况进行年度评估书面报告（2分）</w:t>
            </w:r>
          </w:p>
        </w:tc>
        <w:tc>
          <w:tcPr>
            <w:tcW w:w="63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6</w:t>
            </w:r>
          </w:p>
        </w:tc>
        <w:tc>
          <w:tcPr>
            <w:tcW w:w="808" w:type="dxa"/>
            <w:vAlign w:val="center"/>
          </w:tcPr>
          <w:p>
            <w:pPr>
              <w:jc w:val="center"/>
              <w:rPr>
                <w:rFonts w:hint="eastAsia" w:ascii="仿宋" w:hAnsi="仿宋" w:eastAsia="仿宋" w:cs="仿宋"/>
                <w:sz w:val="32"/>
                <w:szCs w:val="32"/>
              </w:rPr>
            </w:pPr>
          </w:p>
        </w:tc>
        <w:tc>
          <w:tcPr>
            <w:tcW w:w="949"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7" w:hRule="atLeast"/>
        </w:trPr>
        <w:tc>
          <w:tcPr>
            <w:tcW w:w="1809" w:type="dxa"/>
            <w:vMerge w:val="continue"/>
            <w:vAlign w:val="center"/>
          </w:tcPr>
          <w:p>
            <w:pPr>
              <w:jc w:val="center"/>
              <w:rPr>
                <w:rFonts w:hint="eastAsia" w:ascii="仿宋" w:hAnsi="仿宋" w:eastAsia="仿宋" w:cs="仿宋"/>
                <w:sz w:val="32"/>
                <w:szCs w:val="32"/>
              </w:rPr>
            </w:pPr>
          </w:p>
        </w:tc>
        <w:tc>
          <w:tcPr>
            <w:tcW w:w="3686" w:type="dxa"/>
            <w:vAlign w:val="center"/>
          </w:tcPr>
          <w:p>
            <w:pPr>
              <w:rPr>
                <w:rFonts w:hint="eastAsia" w:ascii="仿宋" w:hAnsi="仿宋" w:eastAsia="仿宋" w:cs="仿宋"/>
                <w:szCs w:val="21"/>
              </w:rPr>
            </w:pPr>
            <w:r>
              <w:rPr>
                <w:rFonts w:hint="eastAsia" w:ascii="仿宋" w:hAnsi="仿宋" w:eastAsia="仿宋" w:cs="仿宋"/>
                <w:szCs w:val="21"/>
              </w:rPr>
              <w:t>5、推进法律顾问参与机制（工作要点发布后20日内将本年度法律顾问合同复印件报区司法局302室，联系电话：84862145））</w:t>
            </w:r>
            <w:bookmarkStart w:id="0" w:name="_GoBack"/>
            <w:bookmarkEnd w:id="0"/>
          </w:p>
        </w:tc>
        <w:tc>
          <w:tcPr>
            <w:tcW w:w="5958"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聘请律师担任单位法律顾问，有明确专人负责法律顾问有关工作（3分）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完善法律顾问参与本单位依法行政事务相关资料（3分）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rPr>
                <w:rFonts w:hint="eastAsia" w:ascii="宋体" w:hAnsi="宋体" w:cs="宋体"/>
              </w:rPr>
              <w:t>③</w:t>
            </w:r>
            <w:r>
              <w:rPr>
                <w:rFonts w:hint="eastAsia" w:ascii="仿宋" w:hAnsi="仿宋" w:eastAsia="仿宋" w:cs="仿宋"/>
                <w:szCs w:val="21"/>
              </w:rPr>
              <w:fldChar w:fldCharType="end"/>
            </w:r>
            <w:r>
              <w:rPr>
                <w:rFonts w:hint="eastAsia" w:ascii="仿宋" w:hAnsi="仿宋" w:eastAsia="仿宋" w:cs="仿宋"/>
                <w:szCs w:val="21"/>
              </w:rPr>
              <w:t>留存法律顾问提出的书面法律意见书（3分）</w:t>
            </w:r>
          </w:p>
        </w:tc>
        <w:tc>
          <w:tcPr>
            <w:tcW w:w="63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9</w:t>
            </w:r>
          </w:p>
        </w:tc>
        <w:tc>
          <w:tcPr>
            <w:tcW w:w="808" w:type="dxa"/>
            <w:vAlign w:val="center"/>
          </w:tcPr>
          <w:p>
            <w:pPr>
              <w:jc w:val="center"/>
              <w:rPr>
                <w:rFonts w:hint="eastAsia" w:ascii="仿宋" w:hAnsi="仿宋" w:eastAsia="仿宋" w:cs="仿宋"/>
                <w:sz w:val="32"/>
                <w:szCs w:val="32"/>
              </w:rPr>
            </w:pPr>
          </w:p>
        </w:tc>
        <w:tc>
          <w:tcPr>
            <w:tcW w:w="949" w:type="dxa"/>
            <w:vAlign w:val="center"/>
          </w:tcPr>
          <w:p>
            <w:pPr>
              <w:jc w:val="center"/>
              <w:rPr>
                <w:rFonts w:hint="eastAsia" w:ascii="仿宋" w:hAnsi="仿宋" w:eastAsia="仿宋" w:cs="仿宋"/>
                <w:sz w:val="32"/>
                <w:szCs w:val="32"/>
              </w:rPr>
            </w:pPr>
          </w:p>
        </w:tc>
      </w:tr>
    </w:tbl>
    <w:p>
      <w:pPr>
        <w:rPr>
          <w:rFonts w:hint="eastAsia" w:ascii="仿宋" w:hAnsi="仿宋" w:eastAsia="仿宋" w:cs="仿宋"/>
          <w:sz w:val="32"/>
          <w:szCs w:val="32"/>
        </w:rPr>
      </w:pPr>
    </w:p>
    <w:tbl>
      <w:tblPr>
        <w:tblStyle w:val="6"/>
        <w:tblW w:w="13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3255"/>
        <w:gridCol w:w="6009"/>
        <w:gridCol w:w="931"/>
        <w:gridCol w:w="902"/>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1815" w:type="dxa"/>
            <w:vMerge w:val="restart"/>
            <w:vAlign w:val="center"/>
          </w:tcPr>
          <w:p>
            <w:pPr>
              <w:jc w:val="center"/>
              <w:rPr>
                <w:rFonts w:hint="eastAsia" w:ascii="仿宋" w:hAnsi="仿宋" w:eastAsia="仿宋" w:cs="仿宋"/>
                <w:sz w:val="32"/>
                <w:szCs w:val="32"/>
              </w:rPr>
            </w:pPr>
            <w:r>
              <w:rPr>
                <w:rFonts w:hint="eastAsia" w:ascii="仿宋" w:hAnsi="仿宋" w:eastAsia="仿宋" w:cs="仿宋"/>
                <w:b/>
                <w:bCs/>
                <w:sz w:val="32"/>
                <w:szCs w:val="32"/>
              </w:rPr>
              <w:t>三、严格依法履行职责（30分）</w:t>
            </w:r>
          </w:p>
        </w:tc>
        <w:tc>
          <w:tcPr>
            <w:tcW w:w="3255" w:type="dxa"/>
            <w:vAlign w:val="center"/>
          </w:tcPr>
          <w:p>
            <w:pPr>
              <w:rPr>
                <w:rFonts w:hint="eastAsia" w:ascii="仿宋" w:hAnsi="仿宋" w:eastAsia="仿宋" w:cs="仿宋"/>
                <w:sz w:val="32"/>
                <w:szCs w:val="32"/>
              </w:rPr>
            </w:pPr>
            <w:r>
              <w:rPr>
                <w:rFonts w:hint="eastAsia" w:ascii="仿宋" w:hAnsi="仿宋" w:eastAsia="仿宋" w:cs="仿宋"/>
                <w:szCs w:val="21"/>
              </w:rPr>
              <w:t>6、依法界定本单位法定职责权限（对行政相对人的服务，管理，执法等权限）</w:t>
            </w:r>
          </w:p>
        </w:tc>
        <w:tc>
          <w:tcPr>
            <w:tcW w:w="6009"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编制更新本单位行政权力清单（3分）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在区政府网站和有关媒体上公布权力清单（2分）</w:t>
            </w:r>
          </w:p>
        </w:tc>
        <w:tc>
          <w:tcPr>
            <w:tcW w:w="93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902" w:type="dxa"/>
            <w:vAlign w:val="center"/>
          </w:tcPr>
          <w:p>
            <w:pPr>
              <w:jc w:val="center"/>
              <w:rPr>
                <w:rFonts w:hint="eastAsia" w:ascii="仿宋" w:hAnsi="仿宋" w:eastAsia="仿宋" w:cs="仿宋"/>
                <w:sz w:val="32"/>
                <w:szCs w:val="32"/>
              </w:rPr>
            </w:pPr>
          </w:p>
        </w:tc>
        <w:tc>
          <w:tcPr>
            <w:tcW w:w="848"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0" w:hRule="atLeast"/>
        </w:trPr>
        <w:tc>
          <w:tcPr>
            <w:tcW w:w="1815" w:type="dxa"/>
            <w:vMerge w:val="continue"/>
            <w:vAlign w:val="center"/>
          </w:tcPr>
          <w:p>
            <w:pPr>
              <w:jc w:val="center"/>
              <w:rPr>
                <w:rFonts w:hint="eastAsia" w:ascii="仿宋" w:hAnsi="仿宋" w:eastAsia="仿宋" w:cs="仿宋"/>
                <w:sz w:val="32"/>
                <w:szCs w:val="32"/>
              </w:rPr>
            </w:pPr>
          </w:p>
        </w:tc>
        <w:tc>
          <w:tcPr>
            <w:tcW w:w="3255" w:type="dxa"/>
            <w:vAlign w:val="center"/>
          </w:tcPr>
          <w:p>
            <w:pPr>
              <w:rPr>
                <w:rFonts w:hint="eastAsia" w:ascii="仿宋" w:hAnsi="仿宋" w:eastAsia="仿宋" w:cs="仿宋"/>
                <w:sz w:val="32"/>
                <w:szCs w:val="32"/>
              </w:rPr>
            </w:pPr>
            <w:r>
              <w:rPr>
                <w:rFonts w:hint="eastAsia" w:ascii="仿宋" w:hAnsi="仿宋" w:eastAsia="仿宋" w:cs="仿宋"/>
                <w:szCs w:val="21"/>
              </w:rPr>
              <w:t>7、落实行政审批、许可、强制、处罚等执法制度以及相关改革任务</w:t>
            </w:r>
          </w:p>
        </w:tc>
        <w:tc>
          <w:tcPr>
            <w:tcW w:w="6009"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严格依法履行本单位行政审批、许可、强制、处罚、行政不作为等执法工作任务，违反1件扣2分，如自行发现并及时改正未给行政相对人造成明显损失或取得行政相对人谅解的不扣分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制定本单位行政审批、许可、强制、处罚等执法工作的运行流程（包括内部程序流程）并在区政府网站和有关媒体以及本单位政务公开区域公开，漏1项扣2分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t>③</w:t>
            </w:r>
            <w:r>
              <w:rPr>
                <w:rFonts w:hint="eastAsia" w:ascii="仿宋" w:hAnsi="仿宋" w:eastAsia="仿宋" w:cs="仿宋"/>
                <w:szCs w:val="21"/>
              </w:rPr>
              <w:fldChar w:fldCharType="end"/>
            </w:r>
            <w:r>
              <w:rPr>
                <w:rFonts w:hint="eastAsia" w:ascii="仿宋" w:hAnsi="仿宋" w:eastAsia="仿宋" w:cs="仿宋"/>
                <w:szCs w:val="21"/>
              </w:rPr>
              <w:t>及时衔接国家省、市、区委托职权的依法实施事项，超时或违反委托职责 1件1分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4 \* GB3 \* MERGEFORMAT </w:instrText>
            </w:r>
            <w:r>
              <w:rPr>
                <w:rFonts w:hint="eastAsia" w:ascii="仿宋" w:hAnsi="仿宋" w:eastAsia="仿宋" w:cs="仿宋"/>
                <w:szCs w:val="21"/>
              </w:rPr>
              <w:fldChar w:fldCharType="separate"/>
            </w:r>
            <w:r>
              <w:t>④</w:t>
            </w:r>
            <w:r>
              <w:rPr>
                <w:rFonts w:hint="eastAsia" w:ascii="仿宋" w:hAnsi="仿宋" w:eastAsia="仿宋" w:cs="仿宋"/>
                <w:szCs w:val="21"/>
              </w:rPr>
              <w:fldChar w:fldCharType="end"/>
            </w:r>
            <w:r>
              <w:rPr>
                <w:rFonts w:hint="eastAsia" w:ascii="仿宋" w:hAnsi="仿宋" w:eastAsia="仿宋" w:cs="仿宋"/>
                <w:szCs w:val="21"/>
              </w:rPr>
              <w:t>严格执法人员持证上岗资格管理，公布执法人员信息，未取得资格证或未持证执法的，违反1次扣5分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5 \* GB3 \* MERGEFORMAT </w:instrText>
            </w:r>
            <w:r>
              <w:rPr>
                <w:rFonts w:hint="eastAsia" w:ascii="仿宋" w:hAnsi="仿宋" w:eastAsia="仿宋" w:cs="仿宋"/>
                <w:szCs w:val="21"/>
              </w:rPr>
              <w:fldChar w:fldCharType="separate"/>
            </w:r>
            <w:r>
              <w:t>⑤</w:t>
            </w:r>
            <w:r>
              <w:rPr>
                <w:rFonts w:hint="eastAsia" w:ascii="仿宋" w:hAnsi="仿宋" w:eastAsia="仿宋" w:cs="仿宋"/>
                <w:szCs w:val="21"/>
              </w:rPr>
              <w:fldChar w:fldCharType="end"/>
            </w:r>
            <w:r>
              <w:rPr>
                <w:rFonts w:hint="eastAsia" w:ascii="仿宋" w:hAnsi="仿宋" w:eastAsia="仿宋" w:cs="仿宋"/>
                <w:szCs w:val="21"/>
              </w:rPr>
              <w:t>落实行政处罚自由裁量基准制度，国家、省市已经量化的严格遵照执行，没有量化的本单位必须自行量化并在区政府网站和有关媒体公布，违反1件扣1分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6 \* GB3 \* MERGEFORMAT </w:instrText>
            </w:r>
            <w:r>
              <w:rPr>
                <w:rFonts w:hint="eastAsia" w:ascii="仿宋" w:hAnsi="仿宋" w:eastAsia="仿宋" w:cs="仿宋"/>
                <w:szCs w:val="21"/>
              </w:rPr>
              <w:fldChar w:fldCharType="separate"/>
            </w:r>
            <w:r>
              <w:t>⑥</w:t>
            </w:r>
            <w:r>
              <w:rPr>
                <w:rFonts w:hint="eastAsia" w:ascii="仿宋" w:hAnsi="仿宋" w:eastAsia="仿宋" w:cs="仿宋"/>
                <w:szCs w:val="21"/>
              </w:rPr>
              <w:fldChar w:fldCharType="end"/>
            </w:r>
            <w:r>
              <w:rPr>
                <w:rFonts w:hint="eastAsia" w:ascii="仿宋" w:hAnsi="仿宋" w:eastAsia="仿宋" w:cs="仿宋"/>
                <w:szCs w:val="21"/>
              </w:rPr>
              <w:t>以上五项分值不单独设置上限，以总分20分为限</w:t>
            </w:r>
          </w:p>
        </w:tc>
        <w:tc>
          <w:tcPr>
            <w:tcW w:w="93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20</w:t>
            </w:r>
          </w:p>
        </w:tc>
        <w:tc>
          <w:tcPr>
            <w:tcW w:w="902" w:type="dxa"/>
            <w:vAlign w:val="center"/>
          </w:tcPr>
          <w:p>
            <w:pPr>
              <w:jc w:val="center"/>
              <w:rPr>
                <w:rFonts w:hint="eastAsia" w:ascii="仿宋" w:hAnsi="仿宋" w:eastAsia="仿宋" w:cs="仿宋"/>
                <w:sz w:val="32"/>
                <w:szCs w:val="32"/>
              </w:rPr>
            </w:pPr>
          </w:p>
        </w:tc>
        <w:tc>
          <w:tcPr>
            <w:tcW w:w="848"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8" w:hRule="atLeast"/>
        </w:trPr>
        <w:tc>
          <w:tcPr>
            <w:tcW w:w="1815" w:type="dxa"/>
            <w:vMerge w:val="continue"/>
            <w:vAlign w:val="center"/>
          </w:tcPr>
          <w:p>
            <w:pPr>
              <w:jc w:val="center"/>
              <w:rPr>
                <w:rFonts w:hint="eastAsia" w:ascii="仿宋" w:hAnsi="仿宋" w:eastAsia="仿宋" w:cs="仿宋"/>
                <w:sz w:val="32"/>
                <w:szCs w:val="32"/>
              </w:rPr>
            </w:pPr>
          </w:p>
        </w:tc>
        <w:tc>
          <w:tcPr>
            <w:tcW w:w="3255" w:type="dxa"/>
            <w:vAlign w:val="center"/>
          </w:tcPr>
          <w:p>
            <w:pPr>
              <w:rPr>
                <w:rFonts w:hint="eastAsia" w:ascii="仿宋" w:hAnsi="仿宋" w:eastAsia="仿宋" w:cs="仿宋"/>
                <w:szCs w:val="21"/>
              </w:rPr>
            </w:pPr>
            <w:r>
              <w:rPr>
                <w:rFonts w:hint="eastAsia" w:ascii="仿宋" w:hAnsi="仿宋" w:eastAsia="仿宋" w:cs="仿宋"/>
                <w:szCs w:val="21"/>
              </w:rPr>
              <w:t>8、依法履行公共服务职责</w:t>
            </w:r>
          </w:p>
        </w:tc>
        <w:tc>
          <w:tcPr>
            <w:tcW w:w="6009"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根据区政府的统一安排落实本单位入驻区政务服务大厅的事项和人员（2分）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对本单位入驻区政务服务大厅的事项和人员情况要一年不少于2次开展检查评价（2分）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t>③</w:t>
            </w:r>
            <w:r>
              <w:rPr>
                <w:rFonts w:hint="eastAsia" w:ascii="仿宋" w:hAnsi="仿宋" w:eastAsia="仿宋" w:cs="仿宋"/>
                <w:szCs w:val="21"/>
              </w:rPr>
              <w:fldChar w:fldCharType="end"/>
            </w:r>
            <w:r>
              <w:rPr>
                <w:rFonts w:hint="eastAsia" w:ascii="仿宋" w:hAnsi="仿宋" w:eastAsia="仿宋" w:cs="仿宋"/>
                <w:szCs w:val="21"/>
              </w:rPr>
              <w:t>对本单位未入驻的其他服务、管理和执法事项要落实方便行政相对人办理制度（1分）</w:t>
            </w:r>
          </w:p>
        </w:tc>
        <w:tc>
          <w:tcPr>
            <w:tcW w:w="93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902" w:type="dxa"/>
            <w:vAlign w:val="center"/>
          </w:tcPr>
          <w:p>
            <w:pPr>
              <w:jc w:val="center"/>
              <w:rPr>
                <w:rFonts w:hint="eastAsia" w:ascii="仿宋" w:hAnsi="仿宋" w:eastAsia="仿宋" w:cs="仿宋"/>
                <w:sz w:val="32"/>
                <w:szCs w:val="32"/>
              </w:rPr>
            </w:pPr>
          </w:p>
        </w:tc>
        <w:tc>
          <w:tcPr>
            <w:tcW w:w="848" w:type="dxa"/>
            <w:vAlign w:val="center"/>
          </w:tcPr>
          <w:p>
            <w:pPr>
              <w:jc w:val="center"/>
              <w:rPr>
                <w:rFonts w:hint="eastAsia" w:ascii="仿宋" w:hAnsi="仿宋" w:eastAsia="仿宋" w:cs="仿宋"/>
                <w:sz w:val="32"/>
                <w:szCs w:val="32"/>
              </w:rPr>
            </w:pPr>
          </w:p>
        </w:tc>
      </w:tr>
    </w:tbl>
    <w:tbl>
      <w:tblPr>
        <w:tblStyle w:val="6"/>
        <w:tblpPr w:leftFromText="180" w:rightFromText="180" w:vertAnchor="text" w:horzAnchor="page" w:tblpX="1431" w:tblpY="391"/>
        <w:tblOverlap w:val="never"/>
        <w:tblW w:w="1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3269"/>
        <w:gridCol w:w="5738"/>
        <w:gridCol w:w="950"/>
        <w:gridCol w:w="965"/>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8" w:hRule="atLeast"/>
        </w:trPr>
        <w:tc>
          <w:tcPr>
            <w:tcW w:w="1801" w:type="dxa"/>
            <w:vMerge w:val="restart"/>
            <w:vAlign w:val="center"/>
          </w:tcPr>
          <w:p>
            <w:pPr>
              <w:jc w:val="center"/>
              <w:rPr>
                <w:rFonts w:hint="eastAsia" w:ascii="仿宋" w:hAnsi="仿宋" w:eastAsia="仿宋" w:cs="仿宋"/>
                <w:sz w:val="32"/>
                <w:szCs w:val="32"/>
              </w:rPr>
            </w:pPr>
            <w:r>
              <w:rPr>
                <w:rFonts w:hint="eastAsia" w:ascii="仿宋" w:hAnsi="仿宋" w:eastAsia="仿宋" w:cs="仿宋"/>
                <w:b/>
                <w:bCs/>
                <w:sz w:val="32"/>
                <w:szCs w:val="32"/>
              </w:rPr>
              <w:t>四、提高制度执行质量（25分）</w:t>
            </w:r>
          </w:p>
        </w:tc>
        <w:tc>
          <w:tcPr>
            <w:tcW w:w="3269" w:type="dxa"/>
            <w:vAlign w:val="center"/>
          </w:tcPr>
          <w:p>
            <w:pPr>
              <w:rPr>
                <w:rFonts w:hint="eastAsia" w:ascii="仿宋" w:hAnsi="仿宋" w:eastAsia="仿宋" w:cs="仿宋"/>
                <w:szCs w:val="21"/>
              </w:rPr>
            </w:pPr>
          </w:p>
          <w:p>
            <w:pPr>
              <w:rPr>
                <w:rFonts w:hint="eastAsia" w:ascii="仿宋" w:hAnsi="仿宋" w:eastAsia="仿宋" w:cs="仿宋"/>
                <w:sz w:val="32"/>
                <w:szCs w:val="32"/>
              </w:rPr>
            </w:pPr>
            <w:r>
              <w:rPr>
                <w:rFonts w:hint="eastAsia" w:ascii="仿宋" w:hAnsi="仿宋" w:eastAsia="仿宋" w:cs="仿宋"/>
                <w:szCs w:val="21"/>
              </w:rPr>
              <w:t>9、规范性文件监督管理</w:t>
            </w:r>
          </w:p>
        </w:tc>
        <w:tc>
          <w:tcPr>
            <w:tcW w:w="5738" w:type="dxa"/>
            <w:vAlign w:val="center"/>
          </w:tcPr>
          <w:p>
            <w:pPr>
              <w:jc w:val="left"/>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清理部门以政府名义或部门自身制定的超越法定职权的文件，违反1件扣1分，自行发现并清理并未造成明显损害的不扣分(3分)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对可能涉及到规范性文件制定内容的新拟文件必须征求本单位法律顾问的书面意见，未经法律顾问审核超越法定权限发布含有规范性文件内容的文件，违反1件扣2分（3分）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t>③</w:t>
            </w:r>
            <w:r>
              <w:rPr>
                <w:rFonts w:hint="eastAsia" w:ascii="仿宋" w:hAnsi="仿宋" w:eastAsia="仿宋" w:cs="仿宋"/>
                <w:szCs w:val="21"/>
              </w:rPr>
              <w:fldChar w:fldCharType="end"/>
            </w:r>
            <w:r>
              <w:rPr>
                <w:rFonts w:hint="eastAsia" w:ascii="仿宋" w:hAnsi="仿宋" w:eastAsia="仿宋" w:cs="仿宋"/>
                <w:szCs w:val="21"/>
              </w:rPr>
              <w:t>有权发布规范性文件的单位，超时备案或漏备案，违反1件扣1分（4分）</w:t>
            </w:r>
          </w:p>
        </w:tc>
        <w:tc>
          <w:tcPr>
            <w:tcW w:w="9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10</w:t>
            </w:r>
          </w:p>
        </w:tc>
        <w:tc>
          <w:tcPr>
            <w:tcW w:w="965" w:type="dxa"/>
            <w:vAlign w:val="center"/>
          </w:tcPr>
          <w:p>
            <w:pPr>
              <w:jc w:val="center"/>
              <w:rPr>
                <w:rFonts w:hint="eastAsia" w:ascii="仿宋" w:hAnsi="仿宋" w:eastAsia="仿宋" w:cs="仿宋"/>
                <w:sz w:val="32"/>
                <w:szCs w:val="32"/>
              </w:rPr>
            </w:pPr>
          </w:p>
        </w:tc>
        <w:tc>
          <w:tcPr>
            <w:tcW w:w="937"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1801" w:type="dxa"/>
            <w:vMerge w:val="continue"/>
            <w:vAlign w:val="center"/>
          </w:tcPr>
          <w:p>
            <w:pPr>
              <w:jc w:val="center"/>
              <w:rPr>
                <w:rFonts w:hint="eastAsia" w:ascii="仿宋" w:hAnsi="仿宋" w:eastAsia="仿宋" w:cs="仿宋"/>
                <w:sz w:val="32"/>
                <w:szCs w:val="32"/>
              </w:rPr>
            </w:pPr>
          </w:p>
        </w:tc>
        <w:tc>
          <w:tcPr>
            <w:tcW w:w="3269" w:type="dxa"/>
            <w:vAlign w:val="center"/>
          </w:tcPr>
          <w:p>
            <w:pPr>
              <w:rPr>
                <w:rFonts w:hint="eastAsia" w:ascii="仿宋" w:hAnsi="仿宋" w:eastAsia="仿宋" w:cs="仿宋"/>
                <w:szCs w:val="21"/>
              </w:rPr>
            </w:pPr>
            <w:r>
              <w:rPr>
                <w:rFonts w:hint="eastAsia" w:ascii="仿宋" w:hAnsi="仿宋" w:eastAsia="仿宋" w:cs="仿宋"/>
                <w:szCs w:val="21"/>
              </w:rPr>
              <w:t>10、案卷评查监督管理</w:t>
            </w:r>
          </w:p>
        </w:tc>
        <w:tc>
          <w:tcPr>
            <w:tcW w:w="5738"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开展依法审批、许可、强制、处罚等档案资料年度自查评价不少于两次，每次不少于档案卷宗30%的比例，有检查评价书面记录（2分）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区司法局对依法行政工作档案卷宗实施抽查，根据抽查结果给出评价意见，违反相关档案管理重大标准甚至错案的1件扣1分（8分）</w:t>
            </w:r>
          </w:p>
          <w:p>
            <w:pPr>
              <w:rPr>
                <w:rFonts w:hint="eastAsia" w:ascii="仿宋" w:hAnsi="仿宋" w:eastAsia="仿宋" w:cs="仿宋"/>
                <w:szCs w:val="21"/>
              </w:rPr>
            </w:pPr>
          </w:p>
        </w:tc>
        <w:tc>
          <w:tcPr>
            <w:tcW w:w="9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10</w:t>
            </w:r>
          </w:p>
        </w:tc>
        <w:tc>
          <w:tcPr>
            <w:tcW w:w="965" w:type="dxa"/>
            <w:vAlign w:val="center"/>
          </w:tcPr>
          <w:p>
            <w:pPr>
              <w:jc w:val="center"/>
              <w:rPr>
                <w:rFonts w:hint="eastAsia" w:ascii="仿宋" w:hAnsi="仿宋" w:eastAsia="仿宋" w:cs="仿宋"/>
                <w:sz w:val="32"/>
                <w:szCs w:val="32"/>
              </w:rPr>
            </w:pPr>
          </w:p>
        </w:tc>
        <w:tc>
          <w:tcPr>
            <w:tcW w:w="937"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6" w:hRule="atLeast"/>
        </w:trPr>
        <w:tc>
          <w:tcPr>
            <w:tcW w:w="1801" w:type="dxa"/>
            <w:vAlign w:val="center"/>
          </w:tcPr>
          <w:p>
            <w:pPr>
              <w:jc w:val="center"/>
              <w:rPr>
                <w:rFonts w:hint="eastAsia" w:ascii="仿宋" w:hAnsi="仿宋" w:eastAsia="仿宋" w:cs="仿宋"/>
                <w:sz w:val="32"/>
                <w:szCs w:val="32"/>
              </w:rPr>
            </w:pPr>
          </w:p>
        </w:tc>
        <w:tc>
          <w:tcPr>
            <w:tcW w:w="3269" w:type="dxa"/>
            <w:vAlign w:val="center"/>
          </w:tcPr>
          <w:p>
            <w:pPr>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color w:val="333333"/>
                <w:kern w:val="0"/>
                <w:szCs w:val="21"/>
              </w:rPr>
              <w:t>推进行政执法综合管理平台建设。（</w:t>
            </w:r>
            <w:r>
              <w:rPr>
                <w:rFonts w:hint="eastAsia" w:ascii="仿宋" w:hAnsi="仿宋" w:eastAsia="仿宋" w:cs="仿宋"/>
                <w:szCs w:val="21"/>
              </w:rPr>
              <w:t>调整专人员时应当在3个工作日内主动向区司法局报备）。</w:t>
            </w:r>
          </w:p>
        </w:tc>
        <w:tc>
          <w:tcPr>
            <w:tcW w:w="5738"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明确专人具体承担综合管理平台的初期信息录入以及长期的使用维护。调整人员时应当及时主动向区司法局报备。（3分）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定期对各单位综合管理平台的使用维护和信息更新录入情况进行检查。（2分）</w:t>
            </w:r>
          </w:p>
        </w:tc>
        <w:tc>
          <w:tcPr>
            <w:tcW w:w="95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965" w:type="dxa"/>
            <w:vAlign w:val="center"/>
          </w:tcPr>
          <w:p>
            <w:pPr>
              <w:jc w:val="center"/>
              <w:rPr>
                <w:rFonts w:hint="eastAsia" w:ascii="仿宋" w:hAnsi="仿宋" w:eastAsia="仿宋" w:cs="仿宋"/>
                <w:sz w:val="32"/>
                <w:szCs w:val="32"/>
              </w:rPr>
            </w:pPr>
          </w:p>
        </w:tc>
        <w:tc>
          <w:tcPr>
            <w:tcW w:w="937" w:type="dxa"/>
            <w:vAlign w:val="center"/>
          </w:tcPr>
          <w:p>
            <w:pPr>
              <w:jc w:val="center"/>
              <w:rPr>
                <w:rFonts w:hint="eastAsia" w:ascii="仿宋" w:hAnsi="仿宋" w:eastAsia="仿宋" w:cs="仿宋"/>
                <w:sz w:val="32"/>
                <w:szCs w:val="32"/>
              </w:rPr>
            </w:pPr>
          </w:p>
        </w:tc>
      </w:tr>
    </w:tbl>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tbl>
      <w:tblPr>
        <w:tblStyle w:val="6"/>
        <w:tblW w:w="13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3458"/>
        <w:gridCol w:w="5768"/>
        <w:gridCol w:w="886"/>
        <w:gridCol w:w="962"/>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0" w:hRule="atLeast"/>
        </w:trPr>
        <w:tc>
          <w:tcPr>
            <w:tcW w:w="1612" w:type="dxa"/>
            <w:vMerge w:val="restart"/>
            <w:vAlign w:val="center"/>
          </w:tcPr>
          <w:p>
            <w:pPr>
              <w:jc w:val="center"/>
              <w:rPr>
                <w:rFonts w:hint="eastAsia" w:ascii="仿宋" w:hAnsi="仿宋" w:eastAsia="仿宋" w:cs="仿宋"/>
                <w:sz w:val="32"/>
                <w:szCs w:val="32"/>
              </w:rPr>
            </w:pPr>
            <w:r>
              <w:rPr>
                <w:rFonts w:hint="eastAsia" w:ascii="仿宋" w:hAnsi="仿宋" w:eastAsia="仿宋" w:cs="仿宋"/>
                <w:b/>
                <w:bCs/>
                <w:sz w:val="32"/>
                <w:szCs w:val="32"/>
              </w:rPr>
              <w:t>五、依法有效化解矛盾纠纷，落实复议监督职责（15分）</w:t>
            </w:r>
          </w:p>
        </w:tc>
        <w:tc>
          <w:tcPr>
            <w:tcW w:w="3458" w:type="dxa"/>
            <w:vAlign w:val="center"/>
          </w:tcPr>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12、行政复议（行政诉讼）案件监督职能</w:t>
            </w:r>
          </w:p>
        </w:tc>
        <w:tc>
          <w:tcPr>
            <w:tcW w:w="5768"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行政复议（行政诉讼）案件中，行政机关程序违法，每1件扣2分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行政复议（行政诉讼）案件中，行政机关的具体行政行为错误被依法认定或撤销的，每1件扣2分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3 \* GB3 \* MERGEFORMAT </w:instrText>
            </w:r>
            <w:r>
              <w:rPr>
                <w:rFonts w:hint="eastAsia" w:ascii="仿宋" w:hAnsi="仿宋" w:eastAsia="仿宋" w:cs="仿宋"/>
                <w:szCs w:val="21"/>
              </w:rPr>
              <w:fldChar w:fldCharType="separate"/>
            </w:r>
            <w:r>
              <w:t>③</w:t>
            </w:r>
            <w:r>
              <w:rPr>
                <w:rFonts w:hint="eastAsia" w:ascii="仿宋" w:hAnsi="仿宋" w:eastAsia="仿宋" w:cs="仿宋"/>
                <w:szCs w:val="21"/>
              </w:rPr>
              <w:fldChar w:fldCharType="end"/>
            </w:r>
            <w:r>
              <w:rPr>
                <w:rFonts w:hint="eastAsia" w:ascii="仿宋" w:hAnsi="仿宋" w:eastAsia="仿宋" w:cs="仿宋"/>
                <w:szCs w:val="21"/>
              </w:rPr>
              <w:t>行政复议（行政诉讼）案件中，行政机关程序违法且具体行政行为也错误被依法认定或撤销的，每1件扣3分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4 \* GB3 \* MERGEFORMAT </w:instrText>
            </w:r>
            <w:r>
              <w:rPr>
                <w:rFonts w:hint="eastAsia" w:ascii="仿宋" w:hAnsi="仿宋" w:eastAsia="仿宋" w:cs="仿宋"/>
                <w:szCs w:val="21"/>
              </w:rPr>
              <w:fldChar w:fldCharType="separate"/>
            </w:r>
            <w:r>
              <w:t>④</w:t>
            </w:r>
            <w:r>
              <w:rPr>
                <w:rFonts w:hint="eastAsia" w:ascii="仿宋" w:hAnsi="仿宋" w:eastAsia="仿宋" w:cs="仿宋"/>
                <w:szCs w:val="21"/>
              </w:rPr>
              <w:fldChar w:fldCharType="end"/>
            </w:r>
            <w:r>
              <w:rPr>
                <w:rFonts w:hint="eastAsia" w:ascii="仿宋" w:hAnsi="仿宋" w:eastAsia="仿宋" w:cs="仿宋"/>
                <w:szCs w:val="21"/>
              </w:rPr>
              <w:t>以上三项分值不单独设置上限，以总分10分为限</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5 \* GB3 \* MERGEFORMAT </w:instrText>
            </w:r>
            <w:r>
              <w:rPr>
                <w:rFonts w:hint="eastAsia" w:ascii="仿宋" w:hAnsi="仿宋" w:eastAsia="仿宋" w:cs="仿宋"/>
                <w:szCs w:val="21"/>
              </w:rPr>
              <w:fldChar w:fldCharType="separate"/>
            </w:r>
            <w:r>
              <w:t>⑤</w:t>
            </w:r>
            <w:r>
              <w:rPr>
                <w:rFonts w:hint="eastAsia" w:ascii="仿宋" w:hAnsi="仿宋" w:eastAsia="仿宋" w:cs="仿宋"/>
                <w:szCs w:val="21"/>
              </w:rPr>
              <w:fldChar w:fldCharType="end"/>
            </w:r>
            <w:r>
              <w:rPr>
                <w:rFonts w:hint="eastAsia" w:ascii="仿宋" w:hAnsi="仿宋" w:eastAsia="仿宋" w:cs="仿宋"/>
                <w:szCs w:val="21"/>
              </w:rPr>
              <w:t>在行政复议（行政诉讼）过程中，行政机关主动纠正自身具体行政行为，严格自查追责，获得行政相对人谅解并未造成明显社会影响的可减少或不扣分。</w:t>
            </w:r>
          </w:p>
        </w:tc>
        <w:tc>
          <w:tcPr>
            <w:tcW w:w="88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10</w:t>
            </w:r>
          </w:p>
        </w:tc>
        <w:tc>
          <w:tcPr>
            <w:tcW w:w="962" w:type="dxa"/>
            <w:vAlign w:val="center"/>
          </w:tcPr>
          <w:p>
            <w:pPr>
              <w:jc w:val="center"/>
              <w:rPr>
                <w:rFonts w:hint="eastAsia" w:ascii="仿宋" w:hAnsi="仿宋" w:eastAsia="仿宋" w:cs="仿宋"/>
                <w:sz w:val="32"/>
                <w:szCs w:val="32"/>
              </w:rPr>
            </w:pPr>
          </w:p>
        </w:tc>
        <w:tc>
          <w:tcPr>
            <w:tcW w:w="934"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1612" w:type="dxa"/>
            <w:vMerge w:val="continue"/>
            <w:vAlign w:val="center"/>
          </w:tcPr>
          <w:p>
            <w:pPr>
              <w:jc w:val="center"/>
              <w:rPr>
                <w:rFonts w:hint="eastAsia" w:ascii="仿宋" w:hAnsi="仿宋" w:eastAsia="仿宋" w:cs="仿宋"/>
                <w:sz w:val="32"/>
                <w:szCs w:val="32"/>
              </w:rPr>
            </w:pPr>
          </w:p>
        </w:tc>
        <w:tc>
          <w:tcPr>
            <w:tcW w:w="3458" w:type="dxa"/>
            <w:vAlign w:val="center"/>
          </w:tcPr>
          <w:p>
            <w:pPr>
              <w:rPr>
                <w:rFonts w:hint="eastAsia" w:ascii="仿宋" w:hAnsi="仿宋" w:eastAsia="仿宋" w:cs="仿宋"/>
                <w:szCs w:val="21"/>
              </w:rPr>
            </w:pPr>
            <w:r>
              <w:rPr>
                <w:rFonts w:hint="eastAsia" w:ascii="仿宋" w:hAnsi="仿宋" w:eastAsia="仿宋" w:cs="仿宋"/>
                <w:szCs w:val="21"/>
              </w:rPr>
              <w:t>13、行政调解工作</w:t>
            </w:r>
          </w:p>
        </w:tc>
        <w:tc>
          <w:tcPr>
            <w:tcW w:w="5768" w:type="dxa"/>
            <w:vAlign w:val="center"/>
          </w:tcPr>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1 \* GB3 \* MERGEFORMAT </w:instrText>
            </w:r>
            <w:r>
              <w:rPr>
                <w:rFonts w:hint="eastAsia" w:ascii="仿宋" w:hAnsi="仿宋" w:eastAsia="仿宋" w:cs="仿宋"/>
                <w:szCs w:val="21"/>
              </w:rPr>
              <w:fldChar w:fldCharType="separate"/>
            </w:r>
            <w:r>
              <w:t>①</w:t>
            </w:r>
            <w:r>
              <w:rPr>
                <w:rFonts w:hint="eastAsia" w:ascii="仿宋" w:hAnsi="仿宋" w:eastAsia="仿宋" w:cs="仿宋"/>
                <w:szCs w:val="21"/>
              </w:rPr>
              <w:fldChar w:fldCharType="end"/>
            </w:r>
            <w:r>
              <w:rPr>
                <w:rFonts w:hint="eastAsia" w:ascii="仿宋" w:hAnsi="仿宋" w:eastAsia="仿宋" w:cs="仿宋"/>
                <w:szCs w:val="21"/>
              </w:rPr>
              <w:t>完善行政调解制度，明确分管领导，总结调解工作经验，完善档案管理（3分）</w:t>
            </w:r>
          </w:p>
          <w:p>
            <w:pPr>
              <w:rPr>
                <w:rFonts w:hint="eastAsia"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 2 \* GB3 \* MERGEFORMAT </w:instrText>
            </w:r>
            <w:r>
              <w:rPr>
                <w:rFonts w:hint="eastAsia" w:ascii="仿宋" w:hAnsi="仿宋" w:eastAsia="仿宋" w:cs="仿宋"/>
                <w:szCs w:val="21"/>
              </w:rPr>
              <w:fldChar w:fldCharType="separate"/>
            </w:r>
            <w:r>
              <w:t>②</w:t>
            </w:r>
            <w:r>
              <w:rPr>
                <w:rFonts w:hint="eastAsia" w:ascii="仿宋" w:hAnsi="仿宋" w:eastAsia="仿宋" w:cs="仿宋"/>
                <w:szCs w:val="21"/>
              </w:rPr>
              <w:fldChar w:fldCharType="end"/>
            </w:r>
            <w:r>
              <w:rPr>
                <w:rFonts w:hint="eastAsia" w:ascii="仿宋" w:hAnsi="仿宋" w:eastAsia="仿宋" w:cs="仿宋"/>
                <w:szCs w:val="21"/>
              </w:rPr>
              <w:t>积极开展行政调解工作，依法化解矛盾纠纷，对群众自愿要求调解的事项拒绝或推诿的每1件扣0.5分（2分）</w:t>
            </w:r>
          </w:p>
        </w:tc>
        <w:tc>
          <w:tcPr>
            <w:tcW w:w="886"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5</w:t>
            </w:r>
          </w:p>
        </w:tc>
        <w:tc>
          <w:tcPr>
            <w:tcW w:w="962" w:type="dxa"/>
            <w:vAlign w:val="center"/>
          </w:tcPr>
          <w:p>
            <w:pPr>
              <w:jc w:val="center"/>
              <w:rPr>
                <w:rFonts w:hint="eastAsia" w:ascii="仿宋" w:hAnsi="仿宋" w:eastAsia="仿宋" w:cs="仿宋"/>
                <w:sz w:val="32"/>
                <w:szCs w:val="32"/>
              </w:rPr>
            </w:pPr>
          </w:p>
        </w:tc>
        <w:tc>
          <w:tcPr>
            <w:tcW w:w="934"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612" w:type="dxa"/>
            <w:vMerge w:val="restart"/>
            <w:vAlign w:val="center"/>
          </w:tcPr>
          <w:p>
            <w:pPr>
              <w:jc w:val="center"/>
              <w:rPr>
                <w:rFonts w:hint="eastAsia" w:ascii="仿宋" w:hAnsi="仿宋" w:eastAsia="仿宋" w:cs="仿宋"/>
                <w:sz w:val="32"/>
                <w:szCs w:val="32"/>
              </w:rPr>
            </w:pPr>
            <w:r>
              <w:rPr>
                <w:rFonts w:hint="eastAsia" w:ascii="仿宋" w:hAnsi="仿宋" w:eastAsia="仿宋" w:cs="仿宋"/>
                <w:b/>
                <w:sz w:val="32"/>
                <w:szCs w:val="32"/>
              </w:rPr>
              <w:t>六、加分标准</w:t>
            </w:r>
          </w:p>
        </w:tc>
        <w:tc>
          <w:tcPr>
            <w:tcW w:w="3458" w:type="dxa"/>
            <w:vAlign w:val="center"/>
          </w:tcPr>
          <w:p>
            <w:pPr>
              <w:rPr>
                <w:rFonts w:hint="eastAsia" w:ascii="仿宋" w:hAnsi="仿宋" w:eastAsia="仿宋" w:cs="仿宋"/>
                <w:szCs w:val="21"/>
              </w:rPr>
            </w:pPr>
            <w:r>
              <w:rPr>
                <w:rFonts w:hint="eastAsia" w:ascii="仿宋" w:hAnsi="仿宋" w:eastAsia="仿宋" w:cs="仿宋"/>
                <w:szCs w:val="21"/>
              </w:rPr>
              <w:t>14、创新改革举措取得实效加分制度</w:t>
            </w:r>
          </w:p>
        </w:tc>
        <w:tc>
          <w:tcPr>
            <w:tcW w:w="5768" w:type="dxa"/>
            <w:vAlign w:val="center"/>
          </w:tcPr>
          <w:p>
            <w:pPr>
              <w:pStyle w:val="4"/>
              <w:rPr>
                <w:rFonts w:hint="eastAsia" w:ascii="仿宋" w:hAnsi="仿宋" w:eastAsia="仿宋" w:cs="仿宋"/>
                <w:sz w:val="21"/>
                <w:szCs w:val="21"/>
              </w:rPr>
            </w:pPr>
            <w:r>
              <w:rPr>
                <w:rFonts w:hint="eastAsia" w:ascii="仿宋" w:hAnsi="仿宋" w:eastAsia="仿宋" w:cs="仿宋"/>
                <w:sz w:val="21"/>
                <w:szCs w:val="21"/>
              </w:rPr>
              <w:t>依法行政、行政执法方面的创新举措被区级（含区级）以上行政机关作为经验推广的。被国家、省、市、区作为典型推广的分别加8分、5分、3分、2分。</w:t>
            </w:r>
          </w:p>
        </w:tc>
        <w:tc>
          <w:tcPr>
            <w:tcW w:w="886" w:type="dxa"/>
            <w:vAlign w:val="center"/>
          </w:tcPr>
          <w:p>
            <w:pPr>
              <w:jc w:val="center"/>
              <w:rPr>
                <w:rFonts w:hint="eastAsia" w:ascii="仿宋" w:hAnsi="仿宋" w:eastAsia="仿宋" w:cs="仿宋"/>
                <w:sz w:val="32"/>
                <w:szCs w:val="32"/>
              </w:rPr>
            </w:pPr>
          </w:p>
        </w:tc>
        <w:tc>
          <w:tcPr>
            <w:tcW w:w="962" w:type="dxa"/>
            <w:vAlign w:val="center"/>
          </w:tcPr>
          <w:p>
            <w:pPr>
              <w:jc w:val="center"/>
              <w:rPr>
                <w:rFonts w:hint="eastAsia" w:ascii="仿宋" w:hAnsi="仿宋" w:eastAsia="仿宋" w:cs="仿宋"/>
                <w:sz w:val="32"/>
                <w:szCs w:val="32"/>
              </w:rPr>
            </w:pPr>
          </w:p>
        </w:tc>
        <w:tc>
          <w:tcPr>
            <w:tcW w:w="934" w:type="dxa"/>
            <w:vAlign w:val="center"/>
          </w:tcPr>
          <w:p>
            <w:pPr>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612" w:type="dxa"/>
            <w:vMerge w:val="continue"/>
            <w:vAlign w:val="center"/>
          </w:tcPr>
          <w:p>
            <w:pPr>
              <w:jc w:val="center"/>
              <w:rPr>
                <w:rFonts w:hint="eastAsia" w:ascii="仿宋" w:hAnsi="仿宋" w:eastAsia="仿宋" w:cs="仿宋"/>
                <w:sz w:val="32"/>
                <w:szCs w:val="32"/>
              </w:rPr>
            </w:pPr>
          </w:p>
        </w:tc>
        <w:tc>
          <w:tcPr>
            <w:tcW w:w="3458" w:type="dxa"/>
            <w:vAlign w:val="center"/>
          </w:tcPr>
          <w:p>
            <w:pPr>
              <w:rPr>
                <w:rFonts w:hint="eastAsia" w:ascii="仿宋" w:hAnsi="仿宋" w:eastAsia="仿宋" w:cs="仿宋"/>
                <w:szCs w:val="21"/>
              </w:rPr>
            </w:pPr>
            <w:r>
              <w:rPr>
                <w:rFonts w:hint="eastAsia" w:ascii="仿宋" w:hAnsi="仿宋" w:eastAsia="仿宋" w:cs="仿宋"/>
                <w:szCs w:val="21"/>
              </w:rPr>
              <w:t>15、受表彰奖励、被新闻媒体正面表扬的宣传报道的加分制度</w:t>
            </w:r>
          </w:p>
        </w:tc>
        <w:tc>
          <w:tcPr>
            <w:tcW w:w="5768" w:type="dxa"/>
            <w:vAlign w:val="center"/>
          </w:tcPr>
          <w:p>
            <w:pPr>
              <w:pStyle w:val="4"/>
              <w:snapToGrid w:val="0"/>
              <w:spacing w:before="0" w:beforeAutospacing="0" w:after="0" w:afterAutospacing="0" w:line="240" w:lineRule="atLeast"/>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1 \* GB3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①</w:t>
            </w:r>
            <w:r>
              <w:rPr>
                <w:rFonts w:hint="eastAsia" w:ascii="仿宋" w:hAnsi="仿宋" w:eastAsia="仿宋" w:cs="仿宋"/>
                <w:sz w:val="21"/>
                <w:szCs w:val="21"/>
              </w:rPr>
              <w:fldChar w:fldCharType="end"/>
            </w:r>
            <w:r>
              <w:rPr>
                <w:rFonts w:hint="eastAsia" w:ascii="仿宋" w:hAnsi="仿宋" w:eastAsia="仿宋" w:cs="仿宋"/>
                <w:sz w:val="21"/>
                <w:szCs w:val="21"/>
              </w:rPr>
              <w:t>获国家、省、市先进集体的分别加5分、3分、1分，同一事项被各级表彰、奖励的，按最高的加分，不重复加分。</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2 \* GB3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②</w:t>
            </w:r>
            <w:r>
              <w:rPr>
                <w:rFonts w:hint="eastAsia" w:ascii="仿宋" w:hAnsi="仿宋" w:eastAsia="仿宋" w:cs="仿宋"/>
                <w:sz w:val="21"/>
                <w:szCs w:val="21"/>
              </w:rPr>
              <w:fldChar w:fldCharType="end"/>
            </w:r>
            <w:r>
              <w:rPr>
                <w:rFonts w:hint="eastAsia" w:ascii="仿宋" w:hAnsi="仿宋" w:eastAsia="仿宋" w:cs="仿宋"/>
                <w:sz w:val="21"/>
                <w:szCs w:val="21"/>
              </w:rPr>
              <w:t>被国家、省、市新闻媒体作为正面典型经验予以宣传报道的分别加6分、4分、2分。若同一事项被各级作为典型予以宣传报道的，按最高的加分，不重复加分。</w:t>
            </w:r>
          </w:p>
        </w:tc>
        <w:tc>
          <w:tcPr>
            <w:tcW w:w="886" w:type="dxa"/>
            <w:vAlign w:val="center"/>
          </w:tcPr>
          <w:p>
            <w:pPr>
              <w:jc w:val="center"/>
              <w:rPr>
                <w:rFonts w:hint="eastAsia" w:ascii="仿宋" w:hAnsi="仿宋" w:eastAsia="仿宋" w:cs="仿宋"/>
                <w:sz w:val="32"/>
                <w:szCs w:val="32"/>
              </w:rPr>
            </w:pPr>
          </w:p>
        </w:tc>
        <w:tc>
          <w:tcPr>
            <w:tcW w:w="962" w:type="dxa"/>
            <w:vAlign w:val="center"/>
          </w:tcPr>
          <w:p>
            <w:pPr>
              <w:jc w:val="center"/>
              <w:rPr>
                <w:rFonts w:hint="eastAsia" w:ascii="仿宋" w:hAnsi="仿宋" w:eastAsia="仿宋" w:cs="仿宋"/>
                <w:sz w:val="32"/>
                <w:szCs w:val="32"/>
              </w:rPr>
            </w:pPr>
          </w:p>
        </w:tc>
        <w:tc>
          <w:tcPr>
            <w:tcW w:w="934" w:type="dxa"/>
            <w:vAlign w:val="center"/>
          </w:tcPr>
          <w:p>
            <w:pPr>
              <w:jc w:val="center"/>
              <w:rPr>
                <w:rFonts w:hint="eastAsia" w:ascii="仿宋" w:hAnsi="仿宋" w:eastAsia="仿宋" w:cs="仿宋"/>
                <w:sz w:val="32"/>
                <w:szCs w:val="32"/>
              </w:rPr>
            </w:pPr>
          </w:p>
        </w:tc>
      </w:tr>
    </w:tbl>
    <w:p/>
    <w:sectPr>
      <w:footerReference r:id="rId3" w:type="default"/>
      <w:pgSz w:w="16838" w:h="11906" w:orient="landscape"/>
      <w:pgMar w:top="1440" w:right="1417" w:bottom="144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illeniaUPC">
    <w:panose1 w:val="02020603050405020304"/>
    <w:charset w:val="00"/>
    <w:family w:val="auto"/>
    <w:pitch w:val="default"/>
    <w:sig w:usb0="81000027" w:usb1="00000002" w:usb2="00000000" w:usb3="00000000" w:csb0="00010001" w:csb1="00000000"/>
  </w:font>
  <w:font w:name="David">
    <w:panose1 w:val="020E0502060401010101"/>
    <w:charset w:val="00"/>
    <w:family w:val="auto"/>
    <w:pitch w:val="default"/>
    <w:sig w:usb0="00000801" w:usb1="00000000" w:usb2="00000000" w:usb3="00000000" w:csb0="00000020" w:csb1="00200000"/>
  </w:font>
  <w:font w:name="DaunPenh">
    <w:panose1 w:val="01010101010101010101"/>
    <w:charset w:val="00"/>
    <w:family w:val="auto"/>
    <w:pitch w:val="default"/>
    <w:sig w:usb0="00000003" w:usb1="00000000" w:usb2="00010000" w:usb3="00000000" w:csb0="00000001" w:csb1="00000000"/>
  </w:font>
  <w:font w:name="Courier New">
    <w:panose1 w:val="02070309020205020404"/>
    <w:charset w:val="00"/>
    <w:family w:val="auto"/>
    <w:pitch w:val="default"/>
    <w:sig w:usb0="E0002AFF" w:usb1="C0007843" w:usb2="00000009" w:usb3="00000000" w:csb0="400001FF" w:csb1="FFFF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mic Sans MS">
    <w:panose1 w:val="030F0702030302020204"/>
    <w:charset w:val="00"/>
    <w:family w:val="auto"/>
    <w:pitch w:val="default"/>
    <w:sig w:usb0="00000287" w:usb1="00000000" w:usb2="00000000" w:usb3="00000000" w:csb0="200000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Arabic Typesetting">
    <w:panose1 w:val="03020402040406030203"/>
    <w:charset w:val="00"/>
    <w:family w:val="auto"/>
    <w:pitch w:val="default"/>
    <w:sig w:usb0="A000206F" w:usb1="C0000000" w:usb2="00000008" w:usb3="00000000" w:csb0="200000D3" w:csb1="00000000"/>
  </w:font>
  <w:font w:name="Aparajita">
    <w:panose1 w:val="020B0604020202020204"/>
    <w:charset w:val="00"/>
    <w:family w:val="auto"/>
    <w:pitch w:val="default"/>
    <w:sig w:usb0="00008003"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right="21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F4F57"/>
    <w:rsid w:val="196C6067"/>
    <w:rsid w:val="579F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2020-07-20T03:05:00Z</dcterms:created>
  <dc:creator>Ivan</dc:creator>
  <cp:lastModifiedBy>单位发文员</cp:lastModifiedBy>
  <dcterms:modified xsi:type="dcterms:W3CDTF">2020-07-23T02:00:34Z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