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2020年政务服务营商环境大提升重点工作任务分解表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》</w:t>
      </w:r>
      <w:bookmarkEnd w:id="0"/>
    </w:p>
    <w:tbl>
      <w:tblPr>
        <w:tblStyle w:val="3"/>
        <w:tblpPr w:leftFromText="180" w:rightFromText="180" w:vertAnchor="text" w:horzAnchor="page" w:tblpX="1603" w:tblpY="1101"/>
        <w:tblOverlap w:val="never"/>
        <w:tblW w:w="13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60"/>
        <w:gridCol w:w="6825"/>
        <w:gridCol w:w="1281"/>
        <w:gridCol w:w="1090"/>
        <w:gridCol w:w="1494"/>
        <w:gridCol w:w="1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考核内容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整改措施</w:t>
            </w:r>
          </w:p>
        </w:tc>
        <w:tc>
          <w:tcPr>
            <w:tcW w:w="128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目标</w:t>
            </w: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责任部门</w:t>
            </w:r>
          </w:p>
        </w:tc>
        <w:tc>
          <w:tcPr>
            <w:tcW w:w="11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（一）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"/>
              </w:rPr>
              <w:t>政务服务事项便利度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、根据《白云区部门权责清单》及《公共服务事项清单》，按照“应进必进”原则，进一步梳理本级“9+X+公共服务”类事项100%进驻“贵州政务服务网”进行公示，并完善《事项办事指南》精准度。按照“应进必进、进必授权”原则，进一步梳理本级“6+X+公共服务依申请”类事项100%进驻“实体大厅”及“贵州政务服务网厅”进行办理，深入推进“只进一扇门”。</w:t>
            </w:r>
          </w:p>
        </w:tc>
        <w:tc>
          <w:tcPr>
            <w:tcW w:w="12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全省总排名确保提升48名。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其中政务服务能力提高0.5个点以上，政务服务便利度提高1个点以上，政务服务满意度提高7个点以上，国家政务服务平台数据共享提升1个点以上。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2020年6月15日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、根据《省人民政府办公厅关于印发国务院第五次大督查反馈问题中“放管服”协调小组办公室牵头整改任务的整改实施方案的通知》（黔府办函[2018]201号）精神要求，由区司法局继续牵头落实好我区“减证便民”相关工作，进一步梳理“取消证明材料清单”进行公示，各部门积极配合执行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区司法局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2020年8月底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按照省、市、区“一窗式”改革相关精神，进一步梳理本级“一窗式”（含集成套餐）服务事项清单。整合实体政务大厅窗口资源，采取“综合性一窗”、“部门内一窗”和“跨部门一窗”等改革方式，持续深化“前台综合受理、后台分类审批、统一窗口出件”服务模式，在2020年底前实现80%以上政务服务事项“一窗”分类受理。对“一窗式”窗口受理件，实行“限时办结制”，对未按限时办结的受理业务部门进行通报批评、责令整改、追责问责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2020年8月底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、按照《区人民政府办公室关于印发&lt;贵阳市白云区政务服务标准化试点建设工作方案&gt;的通知》（白府办发〔2018〕12号）文件精神，加强政务服务一体化平台及政务服务标准化建设。扎实推进“白云区政务服务标准化试点建设”验收工作，优化行政服务流程和办事程序，建立科学规范的政务服务体系，进一步改进政府服务方式，完善政府服务条件，丰富政府服务内容，提高政府服务能力，实现政务服务标准化、规范化和高效化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2020年6月底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、按照《区人民政府办公室关于进一步加强贵阳市白云区乡（镇、社区）及村（居）便民服务中心（站）政务服务标准》（白府办发〔2019〕44号）文件精神，各乡（镇）、街道办事处要进一步加强政务服务标准化建设相关工作，梳理乡（镇）、街道办事处及村（居）两级服务事项清单和代办事项清单统一上报区政务服务中心，并由区级统一编制清单公布。并加快推进乡（镇）、街道办事处政务服务中心、村（居）便民服务站示范点建设工作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2020年6月底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（二）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网上政务服务能力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按照“一网通办”相关要求，进一步梳理本级“5+X+公共服务依申请”类事项；大力提升事项网上办理深度，凡是不涉及国家秘密、法律法规没有禁止性规定的事项，一律实施网上办，凡是能够网上办的，不得要求到现场办，100%开通“网上申请”功能，至少实现“网上预审功能”；2020年底前，实现省市县政务服务“零跑腿”全程网办事项占比70%以上，并同时梳理“最多跑一次”事项清单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2020年8月底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7、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着坚持最大限度方便企业和群众办事为目标，加快实现一网通办，积极配合省、市继续打通当前各部门之间的数据共享壁垒，事项数据的实时共享，从电子信息化的角度提升企业的办事便利度；建立统一的政务服务资源共享平台（公安、民政、计生等），通过平台直接调取参保人相关资料，更好落实“便民服务”工作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区大数据局、区政务服务中心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2020年年底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8、贯彻落实“全省通办、一次办成”改革。按照全省统一部署，设立全省通办窗口，实现“异地受理、远程办理、协同联动、精准指引、就近快办”的“全省通办、一次办成”政务服务新模式。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2020年6月底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（三）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国家政务服务平台数据共享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9、按照国家、省、市、区相关要求，进一步梳理本级“国家四级四同目录库”及“省级公共服务事项三级四同目录库”，并由各部门进行事项的认领、录入、关联，提升我区“四级四同关联率”和“三级四同关联率”，努力事项平台数据共享功能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2020年6月15日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10、配合省大数据局做好证照共享数据评估，年底前实现身份证、营业执照、结婚证、离婚证、社保卡、医保卡、驾驶证、行驶证、残疾人证、居住证、食品经营许可证、律师资格证等30个高频应用的电子证照在一体化政务服务平台及移动端共享应用。并进一步梳理各部门“证照库模版”，由各部门将所有办理事项的证照结果全部录入证照库，以供数据共享调用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区大数据局、区政务服务中心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2020年年底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（四）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政务服务满意度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、根据省、市、区关于全面推进政务服务“好差评”工作的相关要求，各窗口部门和各乡（镇）、街道要积极配合开展相关工作，在大厅窗口设置“窗口评价二维码”，做到“一厅一码”“一窗一码”，积极引导办事群众和企业对办件、办事窗口、办事人员进行评价；并积极配合区政务服务中心对“差评”的调查、核实、追评、整改等工作，整改时限为5个工作日，逾期未处理完毕的，将进行通报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大力宣传推广“贵州政务服务网”，努力实现“一个网页”对外、“一个网站”审批，大力宣传“网上办”功能。进一步提高“贵州政务服网”办件使用率，提升各部门业务事项的办件量及网办量；各部门要加强事项审批办件提速，大力提升各部门办件提速率和时限压缩率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、持续推动“放管服”改革，全面提升民营小微企业政务服务水平，创新政务服务机制，推动政务服务窗口前移，探索在政务服务中心开设民营小微企业服务专柜。专柜通过整合银行、社保、税务等政务服务职能，为民营小微企业提供政策咨询、业务办理、投诉处理等服务，打造小微企业政务服务综合前台。探索在园区、商圈、乡镇（社区）设置政务服务代办点或流动代办点，积极推进政务服务向一线、向最基层延伸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2020年年底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80" w:firstLineChars="200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、优化惠企政策归口汇总机制,按季度更新发布惠企政策清单。在“一网通办”框架下，逐步实现惠企政策“一口发布、一口受理、一口咨询”的服务。各级政务服务中心设立惠企政策服务专窗,强化“企业服务云”政策服务功能,为企业提供“一网式政策服务”在线检索、订阅、匹配服务。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区政务服务中心</w:t>
            </w:r>
          </w:p>
        </w:tc>
        <w:tc>
          <w:tcPr>
            <w:tcW w:w="149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区政府各工作部门、各直属机构、各乡（镇）、街道办事处</w:t>
            </w: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长期</w:t>
            </w:r>
          </w:p>
        </w:tc>
      </w:tr>
    </w:tbl>
    <w:p>
      <w:pPr>
        <w:pStyle w:val="7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00C56"/>
    <w:rsid w:val="21D0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365" w:lineRule="atLeast"/>
      <w:ind w:left="1"/>
      <w:jc w:val="left"/>
      <w:textAlignment w:val="bottom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customStyle="1" w:styleId="5">
    <w:name w:val="Body Text First Indent 21"/>
    <w:basedOn w:val="6"/>
    <w:next w:val="1"/>
    <w:qFormat/>
    <w:uiPriority w:val="0"/>
    <w:pPr>
      <w:widowControl w:val="0"/>
      <w:spacing w:after="120" w:afterLines="0" w:line="365" w:lineRule="atLeast"/>
      <w:ind w:left="420" w:leftChars="200" w:firstLine="420" w:firstLineChars="200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">
    <w:name w:val="Body Text Indent1"/>
    <w:next w:val="2"/>
    <w:qFormat/>
    <w:uiPriority w:val="0"/>
    <w:pPr>
      <w:widowControl w:val="0"/>
      <w:spacing w:after="120" w:afterLines="0" w:line="365" w:lineRule="atLeast"/>
      <w:ind w:left="420" w:leftChars="200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">
    <w:name w:val="Body Text First Indent 2"/>
    <w:next w:val="1"/>
    <w:qFormat/>
    <w:uiPriority w:val="0"/>
    <w:pPr>
      <w:widowControl w:val="0"/>
      <w:spacing w:after="120" w:afterLines="0" w:line="365" w:lineRule="atLeast"/>
      <w:ind w:left="420" w:leftChars="200" w:firstLine="420" w:firstLineChars="200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2020-07-30T03:28:00Z</dcterms:created>
  <dc:creator>Administrator</dc:creator>
  <cp:lastModifiedBy>Administrator</cp:lastModifiedBy>
  <dcterms:modified xsi:type="dcterms:W3CDTF">2020-07-30T03:29:17Z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