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92" w:type="dxa"/>
        <w:jc w:val="center"/>
        <w:tblBorders>
          <w:top w:val="none" w:color="auto" w:sz="2" w:space="0"/>
          <w:left w:val="none" w:color="auto" w:sz="2" w:space="0"/>
          <w:bottom w:val="none" w:color="auto" w:sz="2" w:space="0"/>
          <w:right w:val="none" w:color="auto" w:sz="2" w:space="0"/>
          <w:insideH w:val="none" w:color="auto" w:sz="2" w:space="0"/>
          <w:insideV w:val="none" w:color="auto" w:sz="2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38"/>
        <w:gridCol w:w="638"/>
        <w:gridCol w:w="487"/>
        <w:gridCol w:w="428"/>
        <w:gridCol w:w="3261"/>
        <w:gridCol w:w="1346"/>
        <w:gridCol w:w="1270"/>
        <w:gridCol w:w="1924"/>
      </w:tblGrid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0" w:firstLine="0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附件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1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方正小标宋简体" w:hAnsi="宋体" w:eastAsia="方正小标宋简体" w:cs="宋体"/>
                <w:color w:val="00000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梵华里创建贵州省商贸特色步行街创建责任分解表</w:t>
            </w:r>
            <w:bookmarkEnd w:id="0"/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92" w:type="dxa"/>
            <w:gridSpan w:val="8"/>
            <w:tcBorders>
              <w:top w:val="nil"/>
            </w:tcBorders>
            <w:vAlign w:val="center"/>
          </w:tcPr>
          <w:p>
            <w:pPr>
              <w:widowControl/>
              <w:ind w:left="0" w:firstLine="0"/>
              <w:rPr>
                <w:rFonts w:hint="eastAsia" w:ascii="仿宋_GB2312" w:hAnsi="仿宋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1"/>
                <w:szCs w:val="21"/>
                <w:lang w:val="en-US" w:eastAsia="zh-CN"/>
              </w:rPr>
              <w:t>街区名称地址：贵州省贵阳市白云区云峰大道龙井路1号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  <w:lang w:val="en-US" w:eastAsia="zh-CN"/>
              </w:rPr>
              <w:t>指标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  <w:lang w:val="en-US" w:eastAsia="zh-CN"/>
              </w:rPr>
              <w:t>评定标准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  <w:lang w:val="en-US" w:eastAsia="zh-CN"/>
              </w:rPr>
              <w:t>牵头部门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  <w:lang w:val="en-US" w:eastAsia="zh-CN"/>
              </w:rPr>
              <w:t>责任部门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4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规划布局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（20）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符合城市总体规划和商业网点规划，经营特色鲜明，具有较高的知名度和发展潜力，是市民和游客在本地特色消费的主要选择。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视实际情况酌情给分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区商促局</w:t>
            </w:r>
          </w:p>
        </w:tc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市自然资源和城乡规划局白云分局、区城投集团、 贵阳凯翼云城文化旅游有限公司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交通便利，辐射范围广。</w:t>
            </w:r>
          </w:p>
        </w:tc>
        <w:tc>
          <w:tcPr>
            <w:tcW w:w="13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主街和辅街联动发展，功能互补，相互促进。</w:t>
            </w:r>
          </w:p>
        </w:tc>
        <w:tc>
          <w:tcPr>
            <w:tcW w:w="13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4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2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纯步行长度500米（含）以上。</w:t>
            </w:r>
          </w:p>
        </w:tc>
        <w:tc>
          <w:tcPr>
            <w:tcW w:w="13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设施环境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（30分）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商业环境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综合型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综合型：在当地具有中心商圈地位，能够满足消费者对购物及服务性消费的综合需要，具有一定规模的区域性商业集群。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视实际情况酌情给分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区城投集团</w:t>
            </w:r>
          </w:p>
        </w:tc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区商促局、区住建局、泉湖街道办事处、贵阳凯翼云城文化旅游有限公司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专业型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专业型：在当地属该行业集聚地，汇聚当地该行业的大多数企业，具有一定规模，能为消费者提供专业性消费服务。</w:t>
            </w:r>
          </w:p>
        </w:tc>
        <w:tc>
          <w:tcPr>
            <w:tcW w:w="13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市场氛围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综合型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综合型：街区的建筑、标识、橱窗、灯饰、人文景观等风格是否突出。</w:t>
            </w:r>
          </w:p>
        </w:tc>
        <w:tc>
          <w:tcPr>
            <w:tcW w:w="13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专业型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专业型：建筑风格与区域功能、历史文化背景是否相适应，是否具有良好的市场氛围，能够体现所在地的文化和风貌。</w:t>
            </w:r>
          </w:p>
        </w:tc>
        <w:tc>
          <w:tcPr>
            <w:tcW w:w="13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公共服务设施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配套完善，经营消费环境良好，能为经营户提供优质、高效服务。人流畅通，建有无障碍等公共服务设施，有与经营规模相配套的机动车、非机动车停车场。有区域地图、信息说明、方向指示等功能完整、设置清晰的标识导示系统。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服务设施不齐全的，酌情扣分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区住建局、贵阳凯翼云城文化旅游有限公司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消防、安全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街内应设有消防通道，并配备经消防主管部门检验合格的消防设施。应有标志明显的紧急疏散通道、安全出口、应急照明设施等。有警务点，有专职保安队伍，24小时监控，具有突发事件应急处理机制。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街区内消防、安全设施设备设置不合理、不全面的，酌情扣分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环保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各设施符合环保部门的相关规定要求。不应违反规定随意安装空调器、冷却、废气处理等设施。依据《城市环境卫生设施设置标准》（CJJ27-2012）设置垃圾箱和公共厕所，其中：每50米至少设有1处垃圾箱；每300米至少设有1处公共厕所（含建筑物内部厕所）。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视实际情况酌情给分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r>
        <w:br w:type="page"/>
      </w:r>
    </w:p>
    <w:tbl>
      <w:tblPr>
        <w:tblStyle w:val="4"/>
        <w:tblW w:w="9788" w:type="dxa"/>
        <w:jc w:val="center"/>
        <w:tblBorders>
          <w:top w:val="none" w:color="auto" w:sz="2" w:space="0"/>
          <w:left w:val="none" w:color="auto" w:sz="2" w:space="0"/>
          <w:bottom w:val="none" w:color="auto" w:sz="2" w:space="0"/>
          <w:right w:val="none" w:color="auto" w:sz="2" w:space="0"/>
          <w:insideH w:val="none" w:color="auto" w:sz="2" w:space="0"/>
          <w:insideV w:val="none" w:color="auto" w:sz="2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33"/>
        <w:gridCol w:w="631"/>
        <w:gridCol w:w="485"/>
        <w:gridCol w:w="256"/>
        <w:gridCol w:w="172"/>
        <w:gridCol w:w="2766"/>
        <w:gridCol w:w="1775"/>
        <w:gridCol w:w="965"/>
        <w:gridCol w:w="1905"/>
      </w:tblGrid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4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运营管理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（30）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所在地政府支持，有相应管理机构负责对街区内的市容环境卫生与绿化、公共秩序与交通安全、公共设施、商业经营设施等实施日常监督管理。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有政府协调机构的得5分。步行街成立专门管理机构的得10分，由政府相关职能部门成立工作小组分别管理的得6分，自发形成，无政府部门协调管理的得3分。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泉湖街道办事处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市交管局白云分局、区城市综合执法局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街区业态多样、品牌丰富，有满足购物、餐饮、娱乐、休闲、体验等需求的各类业态。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视实际情况酌情给分</w:t>
            </w:r>
          </w:p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区城投集团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贵阳凯翼云城文化旅游有限公司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加大信息化改造提升。</w:t>
            </w:r>
          </w:p>
        </w:tc>
        <w:tc>
          <w:tcPr>
            <w:tcW w:w="1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商业氛围浓厚，每年街区统一举办购物节、美食节、大型展览、民俗节等特色主题活动。</w:t>
            </w:r>
          </w:p>
        </w:tc>
        <w:tc>
          <w:tcPr>
            <w:tcW w:w="17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有完善的消费者投诉处理制度，投诉渠道畅通，反馈高效，处理率达到100%。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每一项智慧服务内容得1分，最多3分。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4"/>
                <w:sz w:val="21"/>
                <w:szCs w:val="21"/>
                <w:lang w:val="en-US" w:eastAsia="zh-CN"/>
              </w:rPr>
              <w:t>信誉良好，无售假货现象、无强制消费现象、价格透明合理。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每个主题活动得1分，最多3分。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区市场监管局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区城投集团、贵阳凯翼云城文化旅游有限公司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经营情况  （25分）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建成时间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步行街销售额、店铺数达到一定规模，专业型商贸特色步行街专业店占比达70%以上。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建成投入使用1年以上得2分，2年以上得3分，3年以上得5分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区城投集团商促局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贵阳凯翼云城文化旅游有限公司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销售情况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综合型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销售额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年销售额1-2亿元得5分，2-5亿元得8分，超过5亿元以上得10分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区城投集团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贵阳凯翼云城文化旅游有限公司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专业型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销售额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年销售额5000万-1亿元得5分，1-2亿元得8分，超过2亿元以上得10分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店铺情况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综合型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店铺数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200个以下店铺得5分，200-500个店铺得8分，500个以上店铺得10分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区城投集团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区商促局、贵阳凯翼云城文化旅游有限公司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专业型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店铺数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50个以下得2分，50-80个店铺店铺得3分，超过80个店铺得5分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专业店占比例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专业店所占比例达到70%得2分，70%-80%得3分，80%以上得5分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0" w:firstLine="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60"/>
        <w:textAlignment w:val="auto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D59FD"/>
    <w:rsid w:val="4DD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3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2020-07-30T02:36:00Z</dcterms:created>
  <dc:creator>Administrator</dc:creator>
  <cp:lastModifiedBy>Administrator</cp:lastModifiedBy>
  <dcterms:modified xsi:type="dcterms:W3CDTF">2020-07-30T02:37:14Z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