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spacing w:val="0"/>
          <w:sz w:val="44"/>
          <w:szCs w:val="44"/>
          <w:shd w:val="clear" w:fill="FFFFFF"/>
        </w:rPr>
        <w:t>水稻品种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香两优贵福占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审定编号：黔审稻20210013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育 种 者：贵州省水稻研究所、贵州鑫粒和丰农业科技有限公司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特征特性：早熟籼型两系杂交稻。全生育期为157.3天，比对照香早优2017迟熟1.7天。株高107.9厘米，株叶型适中，茎秆较坚韧；叶色绿，剑叶挺直，窄，瓦型；叶鞘、叶缘紫色。分蘖力强，亩有效穗17.1万。穗长24.4厘米，穗总粒数为164.7粒，结实率81.5%，千粒重30.8克。粒型较长，颖尖紫色。少数籽粒有短芒、后期转色好。2020年经农业农村部食品质量监督检验测试中心（武汉）检测，米质主要指标为：出糙率79.0%，精米率70.8%，整精米率63.0%，垩白粒率13%，垩白度3.0%，粒长7.2毫米，长宽比3.5，胶稠度70毫米，直链淀粉含量16.5%，碱消值级6.3，透明度1级，达部标优2；食味鉴评81.6分。稻瘟病抗性鉴定综合评价为“中感”；耐冷性表现为“较强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产量表现：2019年省区试早熟组平均亩产649.8千克，比对照增产7.80%；2020年续试平均亩产651.6千克，比对照增产7.59%。两年区试平均亩产650.7千克，比对照增产7.70%，增产点率100%。2020年生产试验平均亩产611.8千克，比对照增产6.35%，增产点率100%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栽培技术要点：1.适时早播：在我省一般于4月上中旬播种，采用盖膜湿润育秧、温室两段育秧、旱育秧等技术均可。2.合理移植：秧龄期为35天左右。中等肥力田块每亩定植1.2～1.5万蔸左右。可采用宽窄行（窄行5～6寸，宽行9～10寸，株距5～6寸）或者宽行密株（宽行8寸，株距5寸）均可。每蔸插2粒谷秧。3.肥水管理：施足底肥，一般每亩使用复合肥25千克，移植后7天施尿素10千克，抽穗前施钾肥10～15千克。成熟期不要晒田过早。4.注意防治病虫害。5.适时收获：一般在抽穗35～37天收获，确保稻米品质和香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适宜推广区域：适宜于贵州省早熟籼稻区种植。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川优3727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审定编号：滇审稻2010020号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品种特点：高产稳产，整精米率高，抗倒性较强。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选育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者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：四川省农业科学院作物研究所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特征特性：籼型杂交水稻。全生育期158天，株高107.7厘米，穗总粒数163粒，实粒数118粒，千粒重29.9克，亩有效穗17.9万穗，成穗率64.3%，落粒性适中。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适宜区域：适宜在云南省南部海拔1300米以下籼稻区种植。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引种编号：黔引种2018第012号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引种者：贵州金农科技有限责任公司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育种者：四川省农业科学院作物研究所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应性、抗性表现：2018年引种试验12个试点平均生育期155.2天，比对照F优498早熟1.8天；平均亩产624.3千克，比对照增产2.1%，增产点率92.0%。通过湄潭、麻江田间自然鉴定和贵州植物保护研究所人工接种鉴定：稻瘟病综合抗性指数为5.67，综合评价中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适宜推广区域：贵州省中籼迟熟区（武陵山区除外）。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风险提示：注意防治稻瘟病等病虫害。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420"/>
        <w:jc w:val="left"/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泰优808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420" w:leftChars="0" w:right="0" w:righ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审定编号：国审稻20200134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420" w:leftChars="0" w:right="0" w:righ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育 种 者：四川泰隆汇智生物科技有限公司、广东省农业科学院水稻研究所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420" w:leftChars="0" w:right="0" w:righ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征特性：籼型三系杂交水稻品种。在长江上游作一季中稻种植，全生育期150.2天，比对照F优498早熟1天。株高113.5厘米，穗长24.1厘米，每亩有效穗数14.1万穗，每穗总粒数212.6粒，结实率83.3%，千粒重27.4克。抗性：稻瘟病综合指数两年分别为3.8、4.1，穗颈瘟损失率最高级5级，褐飞虱9级，中感稻瘟病，高感褐飞虱，抽穗期耐热性较强，耐冷性一般。米质主要指标：整精米率63.6%，垩白度1.0%，直链淀粉含量17.1%，胶稠度61毫米，碱消值6.8级，长宽比3.2，达到农业行业《食用稻品种品质》标准一级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420" w:leftChars="0" w:right="0" w:righ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量表现：2018年参加长江上游中籼迟熟组联合体区域试验，平均亩产628.75千克，比对照F优498增产4.80%；2019年续试，平均亩产635.04千克，比对照F优498增产5.53%；两年区域试验平均亩产631.89千克，比对照F优498增产5.17%；2019年生产试验，平均亩产617.5千克，比对照F优498增产5.1%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420" w:leftChars="0" w:right="0" w:righ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栽培技术要点：1.根据当地生态条件，适时早播，大田亩用种量1.0千克，秧田亩播种量8～10千克，稀播匀播，培育多蘖壮秧。2.水育秧秧龄30～40天，插植规格20厘米×26厘米，亩栽1.25万穴，每穴插2粒谷，每亩插足基本苗6万以上。3.需肥水平中等，采取重施底肥，及时追施分蘖肥，后期看苗补施穗肥的施肥方法。一般亩施纯氮10～11千克，氮、磷、钾用量比例为1∶0.5∶0.7，重施底肥（氮肥70%作底肥，30%作追肥），早施分蘖肥，忌后期偏施氮肥。移栽后深水活蔸，分蘖期浅水促蘖，够苗及时落水晒田，孕穗期至抽穗期保持田面有浅水，灌浆期干干湿湿壮籽，忌断水过早，以防早衰和影响米质。4.坚持强氯精浸种。根据病虫预报，及时施药防治螟虫、稻飞虱、稻瘟病、纹枯病、稻曲病等病虫害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420" w:leftChars="0" w:right="0" w:right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适宜推广区域：适宜在四川省平坝丘陵稻区、贵州省（武陵山区除外）、云南省的中低海拔籼稻区、重庆市（武陵山区除外）海拔800米以下地区、陕西省南部稻区的稻瘟病轻发区作一季中稻种植。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四、</w:t>
      </w:r>
      <w:r>
        <w:rPr>
          <w:rStyle w:val="5"/>
          <w:rFonts w:hint="eastAsia" w:ascii="黑体" w:hAnsi="黑体" w:eastAsia="黑体" w:cs="黑体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黔优1130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审定编号:黔审稻20220009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品种名称:黔优1130(区试名称:红优1130)申请者:贵州省水稻研究所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育种者:贵州省水稻研究所、贵州金农科技有限责任公司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品种来源:黔糯1Ax红恢_1130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特征特性:三系交限食生育期为 147.7 天，与对照相当。株高108.3厘米，桃叶型较好，琴拜较坚韧;叶色绿，剑叶半直立;叶鞘、叶缘绿色。分力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ab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亩效穗 13.4万。穗总粒数为185.0</w:t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ab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粒，结实率 84.4%，28.4克长粒型，颖尖无色、无芒、后期转色好。经品质检测:山猛率79:79%，精米率68.2%,整精米率62.9%，垩白粒率32%，垩白度5.8%，粒长6.7毫米，长宽比2.9，胶稠度 90毫米，直链淀粉含量11.3%，碱消值级3.5，透明度2级。红米。食味鉴评81.47分。稻瘟病抗性鉴定综合评价为“中感”;耐冷性鉴定表现为“较强”。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产量表现:2020年省区试特色组平均亩产591.15千克，比对照糯优 6211 增产4.80%;2021年续试平均亩产573.47千克，比对照黔糯优11增产7.80%。两年区试平均亩产582.31千克,比对照增产6.26%，增产点率 90%。2021年生产试验平均亩产630.56千克，比对照增产7.39%，增产点率100%。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栽培技术要点:1.适时早播，秧龄30天~40天左右;2.插足基本苗，亩栽 1.2万~1.5万穴，基本苗每亩4万~5万;3.施肥管理，重施底肥，亩施水稻专用复合肥25千克，磷肥50千克，尿素6千克(若无农家肥，则每亩增加2千克尿素，10千克氯化钾);并及时追施分蘖肥，亩施尿素3千克;4.稻田要求，前期浅水管理，后期不能断水过早，湿润管理到成熟;5.病虫防治，在始穗期注意防治稻瘟病，并及时防治稻飞虱、螟虫其它病虫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640" w:firstLineChars="20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  <w:t>审定意见:适宜贵州省糯稻区种植。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" w:beforeAutospacing="0" w:after="15" w:afterAutospacing="0" w:line="420" w:lineRule="atLeast"/>
        <w:ind w:left="0" w:right="0" w:firstLine="0"/>
        <w:jc w:val="both"/>
        <w:rPr>
          <w:rStyle w:val="5"/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spacing w:val="0"/>
          <w:sz w:val="32"/>
          <w:szCs w:val="32"/>
          <w:shd w:val="clear" w:fill="FFFFFF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2C4CE0"/>
    <w:multiLevelType w:val="singleLevel"/>
    <w:tmpl w:val="D52C4CE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wZTdiNTczOGYxNTYxMDUzNzIxZGJmNDNkMzNjZGUifQ=="/>
    <w:docVar w:name="KSO_WPS_MARK_KEY" w:val="fad7284e-26e8-4da0-8b84-dbdc4e0bc113"/>
  </w:docVars>
  <w:rsids>
    <w:rsidRoot w:val="74E36648"/>
    <w:rsid w:val="74E3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2024-03-22T07:54:00Z</dcterms:created>
  <dc:creator>333</dc:creator>
  <cp:lastModifiedBy>333</cp:lastModifiedBy>
  <dcterms:modified xsi:type="dcterms:W3CDTF">2024-03-22T07:54:33Z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7F59C57BDCD54AA4AF787E4332A29C66_11</vt:lpwstr>
  </property>
</Properties>
</file>