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20" w:lineRule="exact"/>
        <w:rPr>
          <w:rFonts w:ascii="Times New Roman" w:hAnsi="Times New Roman" w:eastAsia="华文中宋"/>
          <w:b/>
          <w:color w:val="000000"/>
          <w:w w:val="90"/>
          <w:sz w:val="44"/>
          <w:szCs w:val="44"/>
        </w:rPr>
      </w:pPr>
    </w:p>
    <w:p>
      <w:pPr>
        <w:pStyle w:val="2"/>
        <w:adjustRightInd w:val="0"/>
        <w:snapToGrid w:val="0"/>
        <w:spacing w:beforeLines="0" w:afterLines="0" w:line="600" w:lineRule="exact"/>
        <w:rPr>
          <w:rFonts w:ascii="Times New Roman" w:hAnsi="Times New Roman" w:eastAsia="华文中宋"/>
          <w:b/>
          <w:bCs w:val="0"/>
          <w:sz w:val="36"/>
          <w:szCs w:val="36"/>
        </w:rPr>
      </w:pPr>
      <w:r>
        <w:rPr>
          <w:rFonts w:hint="eastAsia" w:ascii="Times New Roman" w:hAnsi="Times New Roman" w:eastAsia="华文中宋"/>
          <w:b/>
          <w:bCs w:val="0"/>
          <w:sz w:val="36"/>
          <w:szCs w:val="36"/>
        </w:rPr>
        <w:t>农作物秸秆粉碎原位堆沤还田</w:t>
      </w:r>
      <w:r>
        <w:rPr>
          <w:rFonts w:ascii="Times New Roman" w:hAnsi="Times New Roman" w:eastAsia="华文中宋"/>
          <w:b/>
          <w:bCs w:val="0"/>
          <w:sz w:val="36"/>
          <w:szCs w:val="36"/>
        </w:rPr>
        <w:t>技术</w:t>
      </w:r>
    </w:p>
    <w:p>
      <w:pPr>
        <w:adjustRightInd w:val="0"/>
        <w:snapToGrid w:val="0"/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一、技术概述</w:t>
      </w:r>
    </w:p>
    <w:p>
      <w:pPr>
        <w:snapToGrid w:val="0"/>
        <w:spacing w:line="560" w:lineRule="exact"/>
        <w:ind w:firstLine="640" w:firstLineChars="200"/>
        <w:rPr>
          <w:rFonts w:ascii="楷体_GB2312" w:hAnsi="楷体_GB2312" w:eastAsia="楷体_GB2312" w:cs="楷体_GB2312"/>
          <w:b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（一）技术基本情况</w:t>
      </w:r>
    </w:p>
    <w:p>
      <w:pPr>
        <w:adjustRightInd w:val="0"/>
        <w:snapToGrid w:val="0"/>
        <w:spacing w:line="600" w:lineRule="exact"/>
        <w:ind w:firstLine="641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针对贵阳市农作物秸秆产量巨大，但粗放型的秸秆综合利用方式远达不到秸秆的消纳需求，造成资源浪费，因此积极探索研究形成新技术体系，实现“秸秆就地处置”，降低秸秆收集运输成本，提高秸秆肥料利用率效益。通过该技术，实现了农作物秸秆的全量还田，解决了秸秆焚烧造成的大量资源浪费和严重的环境污染问题。通过原位堆沤还田，提高了土壤蓄水保墒能力，改善土壤理化性质，并影响土壤酶活性和微生物活性。在农作物原位堆沤还田后，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一次性完成“秸秆粉碎、堆沤还田、侧深施肥、保墒培肥、改良土壤”等5</w:t>
      </w:r>
      <w:r>
        <w:rPr>
          <w:rFonts w:hint="eastAsia" w:ascii="仿宋_GB2312" w:hAnsi="仿宋_GB2312" w:eastAsia="仿宋_GB2312" w:cs="仿宋_GB2312"/>
          <w:sz w:val="28"/>
          <w:szCs w:val="28"/>
        </w:rPr>
        <w:t>项作业，从而培肥地力，实现农业增产增收；可以降低土壤容重，增加土壤孔隙度和大粒径团聚体数量及水稳定性。通过秸秆堆沤还田保证了土壤质量提升。实现了贵阳市秸秆农机农艺融合、良种良法配套、生产生态协调。</w:t>
      </w:r>
    </w:p>
    <w:p>
      <w:pPr>
        <w:snapToGrid w:val="0"/>
        <w:spacing w:line="560" w:lineRule="exact"/>
        <w:ind w:firstLine="640" w:firstLineChars="20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（二）技术示范推广情况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核心技术“农作物秸秆粉碎原位堆沤还田技术”  2019年以来,贵阳市9县市区依托国家、省级项目,先后开展了秸秆直接还田示范推广,贵阳市市辖的开阳县、清镇市、息烽县、修文县、花溪区等县市每年秸秆机械粉碎腐熟直接还田示范样板面积3万亩以上。秸秆还田亩平增产粮食22.4公斤,亩平增加产值43.76元,亩平增加经济效益50元以上。秸秆直接还田长期定位试验示范监测结果表明:秸秆全量直接还田三年土壤有机质含量增加0.89个百分点,增加3.7%,土壤速效钾每公斤增加17.4mg,土壤容重降低0.05g。 该项目研究应用自2019年到2022年,累计推广应用达800万亩次,其中2022年达到330万亩次,累计增产粮食6.9亿斤,增加经济效益 7.7亿元。秸秆资源综合利用率达到60%,比2018年提高10个百分点。目前该技术正在贵阳市水稻、玉米、油菜等农作物主产区推广应用。</w:t>
      </w:r>
    </w:p>
    <w:p>
      <w:pPr>
        <w:snapToGrid w:val="0"/>
        <w:spacing w:line="600" w:lineRule="exact"/>
        <w:ind w:firstLine="640"/>
        <w:rPr>
          <w:rFonts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（三）提质增效情况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和常规技术相比，应用该技术土壤有机质含量增加0.89个百分点,增加3.7%,土壤速效钾含量每千克增加17.4mg,土壤容重降低0.05g。每亩可节约人工费20元,作物生长后期可减少化肥用量(尿素)每亩2.6～5kg,水稻增产5～8﹪,油菜增产8～10﹪,平均每亩节本增收90.3元。 该项目研究应用自2019年到2022年,累计推广应用达800万亩次,其中2022年达到330万亩次,累计增产粮食6.9亿斤,增加经济效益 7.7亿元。秸秆资源综合利用率达到60%,比2018年提高10个百分点。</w:t>
      </w:r>
    </w:p>
    <w:p>
      <w:pPr>
        <w:snapToGrid w:val="0"/>
        <w:spacing w:line="600" w:lineRule="exact"/>
        <w:ind w:firstLine="64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）技术获奖情况</w:t>
      </w:r>
    </w:p>
    <w:p>
      <w:pPr>
        <w:snapToGrid w:val="0"/>
        <w:spacing w:line="600" w:lineRule="exact"/>
        <w:ind w:firstLine="56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未申报科技奖励。</w:t>
      </w:r>
    </w:p>
    <w:p>
      <w:pPr>
        <w:snapToGrid w:val="0"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6"/>
          <w:szCs w:val="36"/>
        </w:rPr>
      </w:pPr>
      <w:r>
        <w:rPr>
          <w:rFonts w:ascii="Times New Roman" w:hAnsi="Times New Roman" w:eastAsia="黑体"/>
          <w:sz w:val="32"/>
          <w:szCs w:val="32"/>
        </w:rPr>
        <w:t>二、技术要点</w:t>
      </w:r>
    </w:p>
    <w:p>
      <w:pPr>
        <w:snapToGrid w:val="0"/>
        <w:spacing w:line="600" w:lineRule="exact"/>
        <w:ind w:firstLine="64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秸秆粉碎还田精细化管理技术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将秸秆切碎长度控制在3-5 cm,地块要求平整连片，确保粉碎质量，在腐熟的过程中，要配合施用碳酸氢铵等肥料，以促进秸秆腐熟，从而避免分解细菌与作物对氮的竞争。同时避免秸秆水分不足影响腐熟速度，在腐熟过程中会产生各种有机酸，应适量施入石灰，避免产生大量有毒害的物质。</w:t>
      </w:r>
    </w:p>
    <w:p>
      <w:pPr>
        <w:snapToGrid w:val="0"/>
        <w:spacing w:line="600" w:lineRule="exact"/>
        <w:ind w:firstLine="640"/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）秸秆还田配套精准施肥技术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建立“生物有机肥+配方肥”施肥模式，提升有机肥施用技术与配套设施水平，利用农作物秸秆堆沤有机肥、畜禽养殖废弃物及配方肥，减少化肥施用量。集成推广“有机肥+配方肥”等技术模式，将农作物秸秆、畜禽粪便处理与其他废气回收资源化利用相结合，转化为有机肥，无机有机相结合，推进有机肥替代模式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三、适宜区域</w:t>
      </w:r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水稻、玉米、油菜等农作物秸秆适用。</w:t>
      </w:r>
    </w:p>
    <w:p>
      <w:pPr>
        <w:adjustRightInd w:val="0"/>
        <w:snapToGrid w:val="0"/>
        <w:spacing w:line="600" w:lineRule="exact"/>
        <w:ind w:firstLine="64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四、注意事项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641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如果因为天气原因造成封闭除草效果不佳，应及时采取茎叶处理。</w:t>
      </w:r>
    </w:p>
    <w:sectPr>
      <w:headerReference r:id="rId3" w:type="default"/>
      <w:pgSz w:w="11906" w:h="16838"/>
      <w:pgMar w:top="1440" w:right="1304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文泉驿微米黑">
    <w:altName w:val="黑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ZWQ1NjRhMGU0OWRjM2MwM2YwZGRmY2JmYzJlYmUifQ=="/>
  </w:docVars>
  <w:rsids>
    <w:rsidRoot w:val="00DE7E7E"/>
    <w:rsid w:val="00001C05"/>
    <w:rsid w:val="0007287B"/>
    <w:rsid w:val="000D2074"/>
    <w:rsid w:val="000E7AF8"/>
    <w:rsid w:val="001073B7"/>
    <w:rsid w:val="001464E8"/>
    <w:rsid w:val="001603C6"/>
    <w:rsid w:val="00166721"/>
    <w:rsid w:val="001808B3"/>
    <w:rsid w:val="001B5BD5"/>
    <w:rsid w:val="001C085C"/>
    <w:rsid w:val="00215379"/>
    <w:rsid w:val="00236D90"/>
    <w:rsid w:val="002543A2"/>
    <w:rsid w:val="002B66D4"/>
    <w:rsid w:val="002D2CC9"/>
    <w:rsid w:val="002E4A9B"/>
    <w:rsid w:val="003074BA"/>
    <w:rsid w:val="003B0DF0"/>
    <w:rsid w:val="003C564F"/>
    <w:rsid w:val="00435E33"/>
    <w:rsid w:val="004468EF"/>
    <w:rsid w:val="00453C4E"/>
    <w:rsid w:val="004A4FEB"/>
    <w:rsid w:val="004A6869"/>
    <w:rsid w:val="004D5CBB"/>
    <w:rsid w:val="00576D71"/>
    <w:rsid w:val="00581C4C"/>
    <w:rsid w:val="005B16E6"/>
    <w:rsid w:val="005C3F5A"/>
    <w:rsid w:val="0061487D"/>
    <w:rsid w:val="0077007C"/>
    <w:rsid w:val="00793D86"/>
    <w:rsid w:val="007D6C14"/>
    <w:rsid w:val="007E57BC"/>
    <w:rsid w:val="00842183"/>
    <w:rsid w:val="0085131C"/>
    <w:rsid w:val="008529CB"/>
    <w:rsid w:val="008A06EA"/>
    <w:rsid w:val="009F765A"/>
    <w:rsid w:val="00A36C31"/>
    <w:rsid w:val="00A42D7E"/>
    <w:rsid w:val="00A85D5C"/>
    <w:rsid w:val="00AA581F"/>
    <w:rsid w:val="00B26130"/>
    <w:rsid w:val="00BA33F8"/>
    <w:rsid w:val="00CE11D0"/>
    <w:rsid w:val="00D63A22"/>
    <w:rsid w:val="00D8607C"/>
    <w:rsid w:val="00DE7E7E"/>
    <w:rsid w:val="00E03347"/>
    <w:rsid w:val="00E30289"/>
    <w:rsid w:val="00E850D9"/>
    <w:rsid w:val="00FC2F4D"/>
    <w:rsid w:val="00FE4E81"/>
    <w:rsid w:val="00FF2CA0"/>
    <w:rsid w:val="093747A6"/>
    <w:rsid w:val="30252BEA"/>
    <w:rsid w:val="316C5BB8"/>
    <w:rsid w:val="318F3F14"/>
    <w:rsid w:val="31FB1F88"/>
    <w:rsid w:val="327B0D57"/>
    <w:rsid w:val="3B22417C"/>
    <w:rsid w:val="459C0306"/>
    <w:rsid w:val="529F5969"/>
    <w:rsid w:val="63F83685"/>
    <w:rsid w:val="7C302DC6"/>
    <w:rsid w:val="F93DC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autoRedefine/>
    <w:qFormat/>
    <w:uiPriority w:val="0"/>
    <w:pPr>
      <w:keepNext/>
      <w:keepLines/>
      <w:spacing w:beforeLines="100" w:afterLines="100" w:line="360" w:lineRule="exact"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qFormat/>
    <w:uiPriority w:val="0"/>
    <w:rPr>
      <w:rFonts w:ascii="Arial" w:hAnsi="Arial" w:eastAsia="Times New Roman" w:cs="Verdana"/>
      <w:b/>
      <w:color w:val="0000FF"/>
      <w:kern w:val="0"/>
      <w:sz w:val="24"/>
      <w:szCs w:val="20"/>
      <w:u w:val="single"/>
      <w:lang w:eastAsia="en-US"/>
    </w:rPr>
  </w:style>
  <w:style w:type="character" w:customStyle="1" w:styleId="10">
    <w:name w:val="标题 1 Char"/>
    <w:basedOn w:val="8"/>
    <w:link w:val="2"/>
    <w:autoRedefine/>
    <w:qFormat/>
    <w:uiPriority w:val="0"/>
    <w:rPr>
      <w:rFonts w:ascii="Calibri" w:hAnsi="Calibri" w:eastAsia="黑体" w:cs="Times New Roman"/>
      <w:bCs/>
      <w:kern w:val="44"/>
      <w:sz w:val="32"/>
      <w:szCs w:val="44"/>
    </w:rPr>
  </w:style>
  <w:style w:type="character" w:customStyle="1" w:styleId="11">
    <w:name w:val="文档结构图 Char"/>
    <w:basedOn w:val="8"/>
    <w:link w:val="3"/>
    <w:autoRedefine/>
    <w:semiHidden/>
    <w:qFormat/>
    <w:uiPriority w:val="99"/>
    <w:rPr>
      <w:rFonts w:ascii="宋体" w:hAnsi="Calibri" w:eastAsia="宋体" w:cs="Times New Roman"/>
      <w:sz w:val="18"/>
      <w:szCs w:val="18"/>
    </w:rPr>
  </w:style>
  <w:style w:type="character" w:customStyle="1" w:styleId="12">
    <w:name w:val="批注框文本 Char"/>
    <w:basedOn w:val="8"/>
    <w:link w:val="4"/>
    <w:autoRedefine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眉 Char"/>
    <w:basedOn w:val="8"/>
    <w:link w:val="6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Char"/>
    <w:basedOn w:val="8"/>
    <w:link w:val="5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246</Words>
  <Characters>1403</Characters>
  <Lines>11</Lines>
  <Paragraphs>3</Paragraphs>
  <TotalTime>0</TotalTime>
  <ScaleCrop>false</ScaleCrop>
  <LinksUpToDate>false</LinksUpToDate>
  <CharactersWithSpaces>1646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2023-09-12T08:57:00Z</dcterms:created>
  <dc:creator>fgzhen</dc:creator>
  <cp:lastModifiedBy>Chasing dreams of Langzhong</cp:lastModifiedBy>
  <cp:lastPrinted>2021-01-12T16:38:00Z</cp:lastPrinted>
  <dcterms:modified xsi:type="dcterms:W3CDTF">2024-02-27T08:30:31Z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31F9AB8CCC80443288DF0F59EACDEA9B_13</vt:lpwstr>
  </property>
</Properties>
</file>