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620" w:lineRule="exact"/>
        <w:jc w:val="center"/>
        <w:rPr>
          <w:rFonts w:hint="eastAsia" w:ascii="方正小标宋简体" w:hAnsi="方正小标宋简体" w:eastAsia="方正小标宋简体" w:cs="方正小标宋简体"/>
          <w:b w:val="0"/>
          <w:bCs/>
          <w:color w:val="000000" w:themeColor="text1"/>
          <w:w w:val="90"/>
          <w:sz w:val="44"/>
          <w:szCs w:val="44"/>
          <w14:textFill>
            <w14:solidFill>
              <w14:schemeClr w14:val="tx1"/>
            </w14:solidFill>
          </w14:textFill>
        </w:rPr>
      </w:pPr>
      <w:bookmarkStart w:id="1" w:name="_GoBack"/>
      <w:bookmarkEnd w:id="1"/>
      <w:bookmarkStart w:id="0" w:name="_Hlk155968000"/>
      <w:bookmarkEnd w:id="0"/>
      <w:r>
        <w:rPr>
          <w:rFonts w:hint="eastAsia" w:ascii="方正小标宋简体" w:hAnsi="方正小标宋简体" w:eastAsia="方正小标宋简体" w:cs="方正小标宋简体"/>
          <w:b w:val="0"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  <w:t>稻油轮作周年高产高效栽培技术</w:t>
      </w:r>
    </w:p>
    <w:p>
      <w:pPr>
        <w:adjustRightInd w:val="0"/>
        <w:snapToGrid w:val="0"/>
        <w:spacing w:line="600" w:lineRule="exact"/>
        <w:ind w:firstLine="640" w:firstLineChars="200"/>
        <w:rPr>
          <w:rFonts w:ascii="Times New Roman" w:hAnsi="Times New Roman" w:eastAsia="黑体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600" w:lineRule="exact"/>
        <w:ind w:firstLine="640" w:firstLineChars="200"/>
        <w:rPr>
          <w:rFonts w:ascii="Times New Roman" w:hAnsi="Times New Roman" w:eastAsia="黑体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一、技术概述</w:t>
      </w:r>
    </w:p>
    <w:p>
      <w:pPr>
        <w:snapToGrid w:val="0"/>
        <w:spacing w:line="560" w:lineRule="exact"/>
        <w:ind w:firstLine="643" w:firstLineChars="200"/>
        <w:rPr>
          <w:rFonts w:ascii="Times New Roman" w:hAnsi="Times New Roman" w:eastAsia="楷体_GB2312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楷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（一）技术基本情况</w:t>
      </w:r>
    </w:p>
    <w:p>
      <w:pPr>
        <w:snapToGrid w:val="0"/>
        <w:spacing w:line="600" w:lineRule="exact"/>
        <w:ind w:firstLine="560" w:firstLineChars="200"/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水稻是贵州第一大口粮作物，油菜是贵州第一大油料作物，稻油轮作模式一直是贵州推广面积最广的稻田轮作模式。然而，该地区传统生产中普遍存在光温资源利用不充分、季节间分配不合理、自然灾害频发、农机农艺不配套、周年肥水药投入量大等一系列难题。该技术以稻油周年高产高效为目标，以温光资源优化利用为突破口，根据我省低、中、高海拔生态区光温资源约束特点，分别优化水稻、油菜品种搭配，通过调控生育进程提高光温资源利用效率，解决茬口衔接难题；通过农机农艺融合，提高水稻和油菜种植效率以及秸秆还田；建立了肥药减量施用技术，提高了肥药利用效率。通过技术集成，实现稻油轮作周年高产高效。</w:t>
      </w:r>
    </w:p>
    <w:p>
      <w:pPr>
        <w:snapToGrid w:val="0"/>
        <w:spacing w:line="560" w:lineRule="exact"/>
        <w:ind w:firstLine="643" w:firstLineChars="200"/>
        <w:rPr>
          <w:rFonts w:ascii="宋体" w:hAnsi="宋体" w:eastAsia="宋体" w:cs="宋体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楷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（二）</w:t>
      </w:r>
      <w:r>
        <w:rPr>
          <w:rFonts w:ascii="Times New Roman" w:hAnsi="Times New Roman" w:eastAsia="楷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技术示范推广情况</w:t>
      </w:r>
    </w:p>
    <w:p>
      <w:pPr>
        <w:snapToGrid w:val="0"/>
        <w:spacing w:line="600" w:lineRule="exact"/>
        <w:ind w:firstLine="560" w:firstLineChars="200"/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在农业农村部耕地轮作项目、贵州省粮油绿色高产高效示范推广项目等项目资助下，该技术在我省播州、湄潭、绥阳、兴义、思南、西秀、平坝、长顺、贵定、福泉等地大面积推广应用，其中在兴义市万峰林街道推广的稻油轮作技术核心示范，水稻平均亩产达750公斤以上、油菜亩产达130公斤以上；在贵定县盘江镇推广的稻油轮作技术核心示范，水稻平均亩产达650公斤以上、油菜亩产达150公斤以上，多个示范区实现稻油双增产。据农推行业数据统计，稻油轮作模式在全省总推广面积达484.49万亩，平均亩产124.5公斤/亩，较全省油菜平均亩产119.2公斤/亩增产4.5%。</w:t>
      </w:r>
    </w:p>
    <w:p>
      <w:pPr>
        <w:snapToGrid w:val="0"/>
        <w:spacing w:line="560" w:lineRule="exact"/>
        <w:ind w:firstLine="643" w:firstLineChars="200"/>
        <w:rPr>
          <w:rFonts w:ascii="Times New Roman" w:hAnsi="Times New Roman" w:eastAsia="楷体_GB2312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楷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（三）</w:t>
      </w:r>
      <w:r>
        <w:rPr>
          <w:rFonts w:ascii="Times New Roman" w:hAnsi="Times New Roman" w:eastAsia="楷体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提质增效情况</w:t>
      </w:r>
    </w:p>
    <w:p>
      <w:pPr>
        <w:snapToGrid w:val="0"/>
        <w:spacing w:line="600" w:lineRule="exact"/>
        <w:ind w:firstLine="560" w:firstLineChars="200"/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与传统种植相比，稻油轮作周年高产高效栽培技术下，油菜植株内丰富的硫苷能有效地杀死有害细菌、虫卵、杂草等，有利于改善稻田连作、秸秆还田等带来的不利影响；且油菜根系分泌物能提高土壤中磷肥利用率。水旱轮作对抑制油菜病害发生也具有较好的效果。可实现水稻增产10%以上、油菜增产5%以上，降低水稻生长季的肥料用量15%左右，肥料利用率提高20%以上，显著降低病虫害发生，降低农药用量10%以上。</w:t>
      </w:r>
    </w:p>
    <w:p>
      <w:pPr>
        <w:snapToGrid w:val="0"/>
        <w:spacing w:line="560" w:lineRule="exact"/>
        <w:ind w:firstLine="643" w:firstLineChars="200"/>
        <w:rPr>
          <w:rFonts w:ascii="Times New Roman" w:hAnsi="Times New Roman" w:eastAsia="楷体_GB2312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楷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（四）技术获奖情况</w:t>
      </w:r>
    </w:p>
    <w:p>
      <w:pPr>
        <w:snapToGrid w:val="0"/>
        <w:spacing w:line="600" w:lineRule="exact"/>
        <w:ind w:firstLine="560" w:firstLineChars="200"/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该技术未申报科技奖励。</w:t>
      </w:r>
    </w:p>
    <w:p>
      <w:pPr>
        <w:snapToGrid w:val="0"/>
        <w:spacing w:line="600" w:lineRule="exact"/>
        <w:ind w:firstLine="640" w:firstLineChars="200"/>
        <w:rPr>
          <w:rFonts w:ascii="Times New Roman" w:hAnsi="Times New Roman" w:eastAsia="黑体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二、技术要点</w:t>
      </w:r>
    </w:p>
    <w:p>
      <w:pPr>
        <w:snapToGrid w:val="0"/>
        <w:spacing w:line="600" w:lineRule="exact"/>
        <w:ind w:firstLine="643" w:firstLineChars="200"/>
        <w:rPr>
          <w:rFonts w:ascii="Times New Roman" w:hAnsi="Times New Roman" w:eastAsia="楷体"/>
          <w:b/>
          <w:color w:val="000000" w:themeColor="text1"/>
          <w:sz w:val="32"/>
          <w:szCs w:val="32"/>
          <w:highlight w:val="red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楷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（一）茬口衔接与品种搭配</w:t>
      </w:r>
    </w:p>
    <w:p>
      <w:pPr>
        <w:adjustRightInd w:val="0"/>
        <w:snapToGrid w:val="0"/>
        <w:spacing w:line="600" w:lineRule="exact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低海拔区（海拔600米以下）：“双晚”模式。选择耐热性和抗倒性较好的中晚熟优质稻品种，4月上旬播种，5月中旬移栽，9月中旬前完成收获；选择生育期中晚熟油菜品种，9月初育苗，9月下旬移栽，次年5月中旬前完成收获。</w:t>
      </w:r>
    </w:p>
    <w:p>
      <w:pPr>
        <w:adjustRightInd w:val="0"/>
        <w:snapToGrid w:val="0"/>
        <w:spacing w:line="600" w:lineRule="exact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中海拔区（海拔600-1200米）：“晚早”模式。选择生育期中晚熟优质稻品种，4月上旬播种，5月中旬移栽，9月中旬前完成收获；选择生育期中早熟油菜品种，9月中上旬育苗，9月下旬至10月上旬移栽，次年5月上旬前完成收获；或10月中旬前直播，次年5月上旬前完成收获。</w:t>
      </w:r>
    </w:p>
    <w:p>
      <w:pPr>
        <w:adjustRightInd w:val="0"/>
        <w:snapToGrid w:val="0"/>
        <w:spacing w:line="600" w:lineRule="exact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高海拔区（海拔1200米以上）：“双早”模式。选择耐寒性较好的中早熟优质稻品种，4月上旬播种，5月中旬移栽，9月中旬前完成收获；选择生育期早熟油菜品种，9月中上旬育苗，9月下旬至10月上旬移栽，次年5月上旬前完成收获；或10月中旬前直播，次年5月上旬前完成收获。</w:t>
      </w:r>
    </w:p>
    <w:p>
      <w:pPr>
        <w:snapToGrid w:val="0"/>
        <w:spacing w:line="600" w:lineRule="exact"/>
        <w:ind w:firstLine="643" w:firstLineChars="200"/>
        <w:rPr>
          <w:rFonts w:ascii="Times New Roman" w:hAnsi="Times New Roman" w:eastAsia="楷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楷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（二）水稻高产高效种植技术要点</w:t>
      </w:r>
    </w:p>
    <w:p>
      <w:pPr>
        <w:spacing w:line="360" w:lineRule="auto"/>
        <w:ind w:firstLine="562" w:firstLineChars="200"/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Times New Roman" w:eastAsia="仿宋_GB2312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1.培育带蘖壮秧</w:t>
      </w: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可采取湿润育秧、旱育秧和钵盘育秧等方式培育壮秧。</w:t>
      </w:r>
    </w:p>
    <w:p>
      <w:pPr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ascii="仿宋" w:hAnsi="仿宋" w:eastAsia="仿宋"/>
          <w:sz w:val="28"/>
          <w:szCs w:val="28"/>
        </w:rPr>
        <w:t>采取</w:t>
      </w:r>
      <w:r>
        <w:rPr>
          <w:rFonts w:hint="eastAsia" w:ascii="仿宋" w:hAnsi="仿宋" w:eastAsia="仿宋"/>
          <w:sz w:val="28"/>
          <w:szCs w:val="28"/>
        </w:rPr>
        <w:t>湿润育秧和</w:t>
      </w:r>
      <w:r>
        <w:rPr>
          <w:rFonts w:ascii="仿宋" w:hAnsi="仿宋" w:eastAsia="仿宋"/>
          <w:sz w:val="28"/>
          <w:szCs w:val="28"/>
        </w:rPr>
        <w:t>旱育秧方式</w:t>
      </w:r>
      <w:r>
        <w:rPr>
          <w:rFonts w:hint="eastAsia" w:ascii="仿宋" w:hAnsi="仿宋" w:eastAsia="仿宋"/>
          <w:sz w:val="28"/>
          <w:szCs w:val="28"/>
        </w:rPr>
        <w:t>：注意做好厢面除草、培肥和整平</w:t>
      </w:r>
      <w:r>
        <w:rPr>
          <w:rFonts w:ascii="仿宋" w:hAnsi="仿宋" w:eastAsia="仿宋"/>
          <w:sz w:val="28"/>
          <w:szCs w:val="28"/>
        </w:rPr>
        <w:t>，</w:t>
      </w:r>
      <w:r>
        <w:rPr>
          <w:rFonts w:hint="eastAsia" w:ascii="仿宋" w:hAnsi="仿宋" w:eastAsia="仿宋"/>
          <w:sz w:val="28"/>
          <w:szCs w:val="28"/>
        </w:rPr>
        <w:t>种子经过消毒、浸泡、催芽露白即可播种，播种时要稀播匀播，盖土后</w:t>
      </w:r>
      <w:r>
        <w:rPr>
          <w:rFonts w:ascii="仿宋" w:hAnsi="仿宋" w:eastAsia="仿宋"/>
          <w:sz w:val="28"/>
          <w:szCs w:val="28"/>
        </w:rPr>
        <w:t>覆盖拱膜，根据气温揭膜炼苗</w:t>
      </w:r>
      <w:r>
        <w:rPr>
          <w:rFonts w:hint="eastAsia" w:ascii="仿宋" w:hAnsi="仿宋" w:eastAsia="仿宋"/>
          <w:sz w:val="28"/>
          <w:szCs w:val="28"/>
        </w:rPr>
        <w:t>，2叶1心时施断奶肥，</w:t>
      </w:r>
      <w:r>
        <w:rPr>
          <w:rFonts w:ascii="仿宋" w:hAnsi="仿宋" w:eastAsia="仿宋"/>
          <w:sz w:val="28"/>
          <w:szCs w:val="28"/>
        </w:rPr>
        <w:t>移栽前3-5</w:t>
      </w:r>
      <w:r>
        <w:rPr>
          <w:rFonts w:hint="eastAsia" w:ascii="仿宋" w:hAnsi="仿宋" w:eastAsia="仿宋"/>
          <w:sz w:val="28"/>
          <w:szCs w:val="28"/>
        </w:rPr>
        <w:t>天</w:t>
      </w:r>
      <w:r>
        <w:rPr>
          <w:rFonts w:ascii="仿宋" w:hAnsi="仿宋" w:eastAsia="仿宋"/>
          <w:sz w:val="28"/>
          <w:szCs w:val="28"/>
        </w:rPr>
        <w:t>施用尿素作送嫁肥，</w:t>
      </w:r>
      <w:r>
        <w:rPr>
          <w:rFonts w:hint="eastAsia" w:ascii="仿宋" w:hAnsi="仿宋" w:eastAsia="仿宋"/>
          <w:sz w:val="28"/>
          <w:szCs w:val="28"/>
        </w:rPr>
        <w:t>每平方米施用尿素</w:t>
      </w:r>
      <w:r>
        <w:rPr>
          <w:rFonts w:ascii="仿宋" w:hAnsi="仿宋" w:eastAsia="仿宋"/>
          <w:sz w:val="28"/>
          <w:szCs w:val="28"/>
        </w:rPr>
        <w:t>10-15</w:t>
      </w:r>
      <w:r>
        <w:rPr>
          <w:rFonts w:hint="eastAsia" w:ascii="仿宋" w:hAnsi="仿宋" w:eastAsia="仿宋"/>
          <w:sz w:val="28"/>
          <w:szCs w:val="28"/>
        </w:rPr>
        <w:t>克</w:t>
      </w:r>
      <w:r>
        <w:rPr>
          <w:rFonts w:ascii="仿宋" w:hAnsi="仿宋" w:eastAsia="仿宋"/>
          <w:sz w:val="28"/>
          <w:szCs w:val="28"/>
        </w:rPr>
        <w:t>。</w:t>
      </w:r>
    </w:p>
    <w:p>
      <w:pPr>
        <w:snapToGrid w:val="0"/>
        <w:spacing w:line="600" w:lineRule="exact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采用</w:t>
      </w:r>
      <w:r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塑料钵盘育秧</w:t>
      </w: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方式：每孔播种2-3粒，按照</w:t>
      </w:r>
      <w:r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播底土—播种—覆土—洒水</w:t>
      </w: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等程序，</w:t>
      </w:r>
      <w:r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暗化3-5</w:t>
      </w: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天</w:t>
      </w:r>
      <w:r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后并排放于</w:t>
      </w: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厢面，</w:t>
      </w:r>
      <w:r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摆盘</w:t>
      </w: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后</w:t>
      </w:r>
      <w:r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灌</w:t>
      </w: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平沟</w:t>
      </w:r>
      <w:r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水，无纺布</w:t>
      </w: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盖膜</w:t>
      </w:r>
      <w:r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。1叶期每百张秧盘可用15%多效唑粉剂6g兑水</w:t>
      </w: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均匀</w:t>
      </w:r>
      <w:r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喷施</w:t>
      </w: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，控制苗高</w:t>
      </w:r>
      <w:r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。2叶期前秧田坚持湿润灌溉。揭膜后每盘施用4g复合肥。3叶</w:t>
      </w: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-</w:t>
      </w:r>
      <w:r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4叶期水分旱管。移栽前2-3d施用送嫁肥。</w:t>
      </w:r>
    </w:p>
    <w:p>
      <w:pPr>
        <w:spacing w:line="360" w:lineRule="auto"/>
        <w:jc w:val="center"/>
        <w:rPr>
          <w:rFonts w:ascii="仿宋" w:hAnsi="仿宋" w:eastAsia="仿宋"/>
          <w:sz w:val="32"/>
          <w:szCs w:val="32"/>
        </w:rPr>
      </w:pPr>
      <w:r>
        <w:rPr>
          <w:rFonts w:ascii="仿宋" w:hAnsi="仿宋" w:eastAsia="仿宋"/>
          <w:sz w:val="32"/>
          <w:szCs w:val="32"/>
        </w:rPr>
        <w:drawing>
          <wp:inline distT="0" distB="0" distL="0" distR="0">
            <wp:extent cx="2073275" cy="2139950"/>
            <wp:effectExtent l="0" t="0" r="3175" b="12700"/>
            <wp:docPr id="2" name="图片 2" descr="照片 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照片 05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73275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/>
          <w:sz w:val="32"/>
          <w:szCs w:val="32"/>
        </w:rPr>
        <w:t xml:space="preserve"> </w:t>
      </w:r>
      <w:r>
        <w:rPr>
          <w:rFonts w:ascii="仿宋" w:hAnsi="仿宋" w:eastAsia="仿宋"/>
          <w:color w:val="000000"/>
          <w:sz w:val="32"/>
          <w:szCs w:val="32"/>
        </w:rPr>
        <w:drawing>
          <wp:inline distT="0" distB="0" distL="0" distR="0">
            <wp:extent cx="2409825" cy="2145030"/>
            <wp:effectExtent l="0" t="0" r="9525" b="7620"/>
            <wp:docPr id="6451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17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214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图1：水稻旱育壮秧（左）和钵苗壮秧（右）</w:t>
      </w:r>
    </w:p>
    <w:p>
      <w:pPr>
        <w:snapToGrid w:val="0"/>
        <w:spacing w:line="600" w:lineRule="exact"/>
        <w:ind w:firstLine="562" w:firstLineChars="200"/>
        <w:rPr>
          <w:rFonts w:ascii="仿宋_GB2312" w:hAnsi="Times New Roman" w:eastAsia="仿宋_GB2312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Times New Roman" w:eastAsia="仿宋_GB2312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2.合理移栽</w:t>
      </w:r>
    </w:p>
    <w:p>
      <w:pPr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按照品种的分蘖类型与不同海拔区确定基本苗与移栽密度。推荐采取宽窄行移栽方式，低海拔区栽插密度1.0-1.1万/亩，其规格为宽行40厘米，窄行20厘米，株距20厘米，等行距移栽的行距为30厘米。中海拔区栽插密度1.3万左右/亩，其规格为宽行40厘米，窄行20厘米，株距16.7厘米，等行距移栽的行距为30厘米。高海拔区栽插密度为1.4-1.5万/亩，其规格为宽行36.7厘米，窄行20厘米，株距16.7厘米，等行距移栽的行距为28厘米。</w:t>
      </w:r>
    </w:p>
    <w:p>
      <w:pPr>
        <w:spacing w:line="360" w:lineRule="auto"/>
        <w:ind w:firstLine="560" w:firstLineChars="200"/>
        <w:jc w:val="center"/>
        <w:rPr>
          <w:rFonts w:ascii="仿宋" w:hAnsi="仿宋" w:eastAsia="仿宋"/>
          <w:color w:val="FF0000"/>
          <w:sz w:val="32"/>
          <w:szCs w:val="32"/>
        </w:rPr>
      </w:pPr>
      <w:r>
        <w:rPr>
          <w:rFonts w:hint="eastAsia" w:ascii="仿宋" w:hAnsi="仿宋" w:eastAsia="仿宋"/>
          <w:sz w:val="28"/>
          <w:szCs w:val="28"/>
        </w:rPr>
        <w:drawing>
          <wp:inline distT="0" distB="0" distL="114300" distR="114300">
            <wp:extent cx="2393950" cy="2291080"/>
            <wp:effectExtent l="0" t="0" r="6350" b="13970"/>
            <wp:docPr id="4" name="图片 4" descr="38a9d885e4bdc8abf4da7db5d3047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8a9d885e4bdc8abf4da7db5d3047d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93950" cy="229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/>
          <w:color w:val="FF0000"/>
          <w:sz w:val="32"/>
          <w:szCs w:val="32"/>
        </w:rPr>
        <w:t xml:space="preserve"> </w:t>
      </w:r>
      <w:r>
        <w:rPr>
          <w:rFonts w:ascii="仿宋" w:hAnsi="仿宋" w:eastAsia="仿宋"/>
          <w:color w:val="FF0000"/>
          <w:sz w:val="32"/>
          <w:szCs w:val="32"/>
        </w:rPr>
        <w:drawing>
          <wp:inline distT="0" distB="0" distL="0" distR="0">
            <wp:extent cx="2171700" cy="2300605"/>
            <wp:effectExtent l="0" t="0" r="0" b="4445"/>
            <wp:docPr id="5" name="图片 2" descr="E:\2019\Camera\IMG_20190507_165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E:\2019\Camera\IMG_20190507_16563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2300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仿宋" w:hAnsi="仿宋" w:eastAsia="仿宋"/>
          <w:color w:val="FF0000"/>
          <w:sz w:val="32"/>
          <w:szCs w:val="32"/>
        </w:rPr>
      </w:pPr>
      <w:r>
        <w:rPr>
          <w:rFonts w:hint="eastAsia" w:ascii="仿宋" w:hAnsi="仿宋" w:eastAsia="仿宋"/>
          <w:sz w:val="28"/>
          <w:szCs w:val="28"/>
        </w:rPr>
        <w:t>图2：宽窄行拉绳打点人工移栽（左）及宽窄行钵苗机插（右）</w:t>
      </w:r>
    </w:p>
    <w:p>
      <w:pPr>
        <w:snapToGrid w:val="0"/>
        <w:spacing w:line="600" w:lineRule="exact"/>
        <w:ind w:firstLine="562" w:firstLineChars="200"/>
        <w:rPr>
          <w:rFonts w:ascii="仿宋_GB2312" w:hAnsi="Times New Roman" w:eastAsia="仿宋_GB2312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Times New Roman" w:eastAsia="仿宋_GB2312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3.田间管理</w:t>
      </w:r>
    </w:p>
    <w:p>
      <w:pPr>
        <w:snapToGrid w:val="0"/>
        <w:spacing w:line="600" w:lineRule="exact"/>
        <w:ind w:firstLine="560"/>
        <w:rPr>
          <w:rFonts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（1）肥水调控。 </w:t>
      </w:r>
      <w:r>
        <w:rPr>
          <w:rFonts w:ascii="仿宋" w:hAnsi="仿宋" w:eastAsia="仿宋"/>
          <w:sz w:val="28"/>
          <w:szCs w:val="28"/>
        </w:rPr>
        <w:t>氮肥纯氮总量</w:t>
      </w:r>
      <w:r>
        <w:rPr>
          <w:rFonts w:hint="eastAsia" w:ascii="仿宋" w:hAnsi="仿宋" w:eastAsia="仿宋"/>
          <w:sz w:val="28"/>
          <w:szCs w:val="28"/>
        </w:rPr>
        <w:t>8</w:t>
      </w:r>
      <w:r>
        <w:rPr>
          <w:rFonts w:ascii="仿宋" w:hAnsi="仿宋" w:eastAsia="仿宋"/>
          <w:sz w:val="28"/>
          <w:szCs w:val="28"/>
        </w:rPr>
        <w:t>-</w:t>
      </w:r>
      <w:r>
        <w:rPr>
          <w:rFonts w:hint="eastAsia" w:ascii="仿宋" w:hAnsi="仿宋" w:eastAsia="仿宋"/>
          <w:sz w:val="28"/>
          <w:szCs w:val="28"/>
        </w:rPr>
        <w:t>10公斤</w:t>
      </w:r>
      <w:r>
        <w:rPr>
          <w:rFonts w:ascii="仿宋" w:hAnsi="仿宋" w:eastAsia="仿宋"/>
          <w:sz w:val="28"/>
          <w:szCs w:val="28"/>
        </w:rPr>
        <w:t>/亩</w:t>
      </w:r>
      <w:r>
        <w:rPr>
          <w:rFonts w:hint="eastAsia" w:ascii="仿宋" w:hAnsi="仿宋" w:eastAsia="仿宋"/>
          <w:sz w:val="28"/>
          <w:szCs w:val="28"/>
        </w:rPr>
        <w:t>，</w:t>
      </w:r>
      <w:r>
        <w:rPr>
          <w:rFonts w:hint="eastAsia" w:ascii="仿宋" w:hAnsi="仿宋" w:eastAsia="仿宋" w:cs="宋体"/>
          <w:sz w:val="28"/>
          <w:szCs w:val="28"/>
        </w:rPr>
        <w:t>降低基蘖肥比例，氮素前肥后移作穗肥。氮素</w:t>
      </w:r>
      <w:r>
        <w:rPr>
          <w:rFonts w:hint="eastAsia" w:ascii="仿宋" w:hAnsi="仿宋" w:eastAsia="仿宋"/>
          <w:sz w:val="28"/>
          <w:szCs w:val="28"/>
        </w:rPr>
        <w:t>基蘖肥占40-50%，其中基肥和分蘖肥各占50%。</w:t>
      </w:r>
      <w:r>
        <w:rPr>
          <w:rFonts w:hint="eastAsia" w:ascii="仿宋" w:hAnsi="仿宋" w:eastAsia="仿宋" w:cs="宋体"/>
          <w:color w:val="000000"/>
          <w:sz w:val="28"/>
          <w:szCs w:val="28"/>
        </w:rPr>
        <w:t>氮、磷、钾的优化配方为</w:t>
      </w:r>
      <w:r>
        <w:rPr>
          <w:rFonts w:ascii="仿宋" w:hAnsi="仿宋" w:eastAsia="仿宋"/>
          <w:color w:val="000000"/>
          <w:sz w:val="28"/>
          <w:szCs w:val="28"/>
        </w:rPr>
        <w:t>N</w:t>
      </w:r>
      <w:r>
        <w:rPr>
          <w:rFonts w:hint="eastAsia" w:ascii="仿宋" w:hAnsi="仿宋" w:eastAsia="仿宋" w:cs="宋体"/>
          <w:color w:val="000000"/>
          <w:sz w:val="28"/>
          <w:szCs w:val="28"/>
        </w:rPr>
        <w:t>：</w:t>
      </w:r>
      <w:r>
        <w:rPr>
          <w:rFonts w:ascii="仿宋" w:hAnsi="仿宋" w:eastAsia="仿宋"/>
          <w:color w:val="000000"/>
          <w:sz w:val="28"/>
          <w:szCs w:val="28"/>
        </w:rPr>
        <w:t>P</w:t>
      </w:r>
      <w:r>
        <w:rPr>
          <w:rFonts w:hint="eastAsia" w:ascii="仿宋" w:hAnsi="仿宋" w:eastAsia="仿宋" w:cs="宋体"/>
          <w:color w:val="000000"/>
          <w:sz w:val="28"/>
          <w:szCs w:val="28"/>
        </w:rPr>
        <w:t>：</w:t>
      </w:r>
      <w:r>
        <w:rPr>
          <w:rFonts w:ascii="仿宋" w:hAnsi="仿宋" w:eastAsia="仿宋"/>
          <w:color w:val="000000"/>
          <w:sz w:val="28"/>
          <w:szCs w:val="28"/>
        </w:rPr>
        <w:t>K=1</w:t>
      </w:r>
      <w:r>
        <w:rPr>
          <w:rFonts w:hint="eastAsia" w:ascii="仿宋" w:hAnsi="仿宋" w:eastAsia="仿宋" w:cs="宋体"/>
          <w:color w:val="000000"/>
          <w:sz w:val="28"/>
          <w:szCs w:val="28"/>
        </w:rPr>
        <w:t>：</w:t>
      </w:r>
      <w:r>
        <w:rPr>
          <w:rFonts w:ascii="仿宋" w:hAnsi="仿宋" w:eastAsia="仿宋"/>
          <w:color w:val="000000"/>
          <w:sz w:val="28"/>
          <w:szCs w:val="28"/>
        </w:rPr>
        <w:t>0.5</w:t>
      </w:r>
      <w:r>
        <w:rPr>
          <w:rFonts w:hint="eastAsia" w:ascii="仿宋" w:hAnsi="仿宋" w:eastAsia="仿宋" w:cs="宋体"/>
          <w:color w:val="000000"/>
          <w:sz w:val="28"/>
          <w:szCs w:val="28"/>
        </w:rPr>
        <w:t>：（0.5-0.7），磷肥作为基肥一次施用，钾肥分基肥和穗肥2次施用，各占50%。水分管理按照“薄-晒-浅-湿”进行管理，薄水插秧，无效分蘖期晒田控苗，拔节孕穗期保证浅水层，抽穗至灌浆成熟期保持干湿交替灌溉。</w:t>
      </w:r>
    </w:p>
    <w:p>
      <w:pPr>
        <w:snapToGrid w:val="0"/>
        <w:spacing w:line="600" w:lineRule="exact"/>
        <w:ind w:firstLine="560"/>
        <w:rPr>
          <w:rFonts w:ascii="仿宋" w:hAnsi="仿宋" w:eastAsia="仿宋" w:cs="宋体"/>
          <w:color w:val="000000"/>
          <w:sz w:val="28"/>
          <w:szCs w:val="28"/>
        </w:rPr>
      </w:pPr>
      <w:r>
        <w:rPr>
          <w:rFonts w:hint="eastAsia" w:ascii="仿宋" w:hAnsi="仿宋" w:eastAsia="仿宋" w:cs="宋体"/>
          <w:color w:val="000000"/>
          <w:sz w:val="28"/>
          <w:szCs w:val="28"/>
        </w:rPr>
        <w:t>（2）病虫草防治害。 坚持“预防为主，综合防治”的方针。水稻分蘖期重点防治稻飞虱、稻纵卷叶螟，水稻破口抽穗前注意防治稻曲病，在水稻破口期和齐穗期选用三环唑等喷雾防治稻瘟病，抽穗后用井冈霉素等防治纹枯病；同时防治稻飞虱、二化螟和稻纵卷叶螟等虫害。</w:t>
      </w:r>
    </w:p>
    <w:p>
      <w:pPr>
        <w:snapToGrid w:val="0"/>
        <w:spacing w:line="600" w:lineRule="exact"/>
        <w:ind w:firstLine="643" w:firstLineChars="200"/>
        <w:rPr>
          <w:rFonts w:ascii="Times New Roman" w:hAnsi="Times New Roman" w:eastAsia="楷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楷体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（三）油菜高产高效种植技术要点</w:t>
      </w:r>
    </w:p>
    <w:p>
      <w:pPr>
        <w:spacing w:line="360" w:lineRule="auto"/>
        <w:ind w:firstLine="562" w:firstLineChars="200"/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Times New Roman" w:eastAsia="仿宋_GB2312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1.油菜播种与育苗移栽</w:t>
      </w: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</w:t>
      </w:r>
    </w:p>
    <w:p>
      <w:pPr>
        <w:snapToGrid w:val="0"/>
        <w:spacing w:line="600" w:lineRule="exact"/>
        <w:ind w:firstLine="6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采用育苗移栽或直播栽培的种植方式。</w:t>
      </w:r>
    </w:p>
    <w:p>
      <w:pPr>
        <w:snapToGrid w:val="0"/>
        <w:spacing w:line="600" w:lineRule="exact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育苗移栽:（1）种子处理。针对油菜幼苗期黄曲跳甲、蚜虫等主要害虫，选用噻虫嗪等种子处理悬浮剂，拌种时可以选择加入赤•吲乙•芸苔、氨基寡糖素等，提高油菜播种出苗质量和抗病虫能力。（2）备好苗床地。通常1.5～2米宽开厢，其中厢面宽1.3～1.8米，厢沟深20～25厘米；腰沟、围沟深25～30厘米。（3）适期育苗。一分地播种量100克，可移栽一亩大田，播种时要分厢定量，来回多次均匀撒播，播种后再用少量的谷壳、稻草或遮阳网盖种，墒情不好要淋透水以利于出苗整齐一致。（4）适期移栽。移栽期以五叶一心为宜，翻耕移栽密度5500～8000株/亩，行距40～60厘米，株距16～33厘米；免耕移栽可适当加大密度至6000～8000株/亩，各地结合生产实际合理确定。如干旱等不利因素导致移栽推迟，可在油菜三叶一心期叶面均匀喷施烯效唑或多效唑以降低株高，培育壮苗，避免高脚苗。</w:t>
      </w:r>
    </w:p>
    <w:p>
      <w:pPr>
        <w:snapToGrid w:val="0"/>
        <w:ind w:firstLine="420" w:firstLineChars="200"/>
        <w:sectPr>
          <w:footerReference r:id="rId3" w:type="default"/>
          <w:pgSz w:w="11906" w:h="16838"/>
          <w:pgMar w:top="1440" w:right="1800" w:bottom="1440" w:left="1800" w:header="851" w:footer="992" w:gutter="0"/>
          <w:pgNumType w:fmt="numberInDash"/>
          <w:cols w:space="425" w:num="1"/>
          <w:docGrid w:type="lines" w:linePitch="312" w:charSpace="0"/>
        </w:sectPr>
      </w:pPr>
    </w:p>
    <w:p>
      <w:pPr>
        <w:snapToGrid w:val="0"/>
        <w:ind w:firstLine="420" w:firstLineChars="200"/>
      </w:pPr>
      <w:r>
        <w:drawing>
          <wp:inline distT="0" distB="0" distL="0" distR="0">
            <wp:extent cx="2159635" cy="2159635"/>
            <wp:effectExtent l="0" t="0" r="0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50" t="2293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 w:val="0"/>
        <w:spacing w:line="600" w:lineRule="exact"/>
        <w:ind w:firstLine="480" w:firstLineChars="200"/>
        <w:jc w:val="center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苗床准备</w:t>
      </w:r>
    </w:p>
    <w:p>
      <w:pPr>
        <w:snapToGrid w:val="0"/>
        <w:ind w:firstLine="420" w:firstLineChars="200"/>
        <w:jc w:val="center"/>
        <w:rPr>
          <w:rFonts w:hint="eastAsia" w:ascii="仿宋" w:hAnsi="仿宋" w:eastAsia="仿宋"/>
          <w:sz w:val="28"/>
          <w:szCs w:val="28"/>
          <w:highlight w:val="red"/>
        </w:rPr>
      </w:pPr>
      <w:r>
        <w:drawing>
          <wp:inline distT="0" distB="0" distL="0" distR="0">
            <wp:extent cx="2159635" cy="2159635"/>
            <wp:effectExtent l="0" t="0" r="0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17" t="-340" r="12233" b="2354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 w:val="0"/>
        <w:spacing w:line="600" w:lineRule="exact"/>
        <w:ind w:firstLine="480" w:firstLineChars="200"/>
        <w:jc w:val="center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及时移栽</w:t>
      </w:r>
    </w:p>
    <w:p>
      <w:pPr>
        <w:snapToGrid w:val="0"/>
        <w:ind w:firstLine="420" w:firstLineChars="200"/>
        <w:jc w:val="center"/>
      </w:pPr>
      <w:r>
        <w:drawing>
          <wp:inline distT="0" distB="0" distL="0" distR="0">
            <wp:extent cx="2159635" cy="2159635"/>
            <wp:effectExtent l="0" t="0" r="0" b="0"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 w:val="0"/>
        <w:spacing w:line="600" w:lineRule="exact"/>
        <w:ind w:firstLine="480" w:firstLineChars="200"/>
        <w:jc w:val="center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育苗</w:t>
      </w:r>
    </w:p>
    <w:p>
      <w:pPr>
        <w:snapToGrid w:val="0"/>
        <w:ind w:firstLine="420" w:firstLineChars="200"/>
        <w:jc w:val="center"/>
      </w:pPr>
      <w:r>
        <w:drawing>
          <wp:inline distT="0" distB="0" distL="0" distR="0">
            <wp:extent cx="2159635" cy="2159635"/>
            <wp:effectExtent l="0" t="0" r="0" b="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21" t="5809" r="805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 w:val="0"/>
        <w:spacing w:line="600" w:lineRule="exact"/>
        <w:ind w:firstLine="480" w:firstLineChars="200"/>
        <w:jc w:val="center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返青成活</w:t>
      </w:r>
    </w:p>
    <w:p>
      <w:pPr>
        <w:snapToGrid w:val="0"/>
        <w:spacing w:line="600" w:lineRule="exact"/>
        <w:ind w:firstLine="560" w:firstLineChars="200"/>
        <w:rPr>
          <w:rFonts w:ascii="仿宋" w:hAnsi="仿宋" w:eastAsia="仿宋"/>
          <w:sz w:val="28"/>
          <w:szCs w:val="28"/>
          <w:highlight w:val="red"/>
        </w:rPr>
        <w:sectPr>
          <w:type w:val="continuous"/>
          <w:pgSz w:w="11906" w:h="16838"/>
          <w:pgMar w:top="1440" w:right="1800" w:bottom="1440" w:left="1800" w:header="851" w:footer="992" w:gutter="0"/>
          <w:pgNumType w:fmt="numberInDash"/>
          <w:cols w:space="425" w:num="2"/>
          <w:docGrid w:type="lines" w:linePitch="312" w:charSpace="0"/>
        </w:sectPr>
      </w:pPr>
    </w:p>
    <w:p>
      <w:pPr>
        <w:spacing w:line="360" w:lineRule="auto"/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图3：油菜育苗及移栽</w:t>
      </w:r>
    </w:p>
    <w:p>
      <w:pPr>
        <w:snapToGrid w:val="0"/>
        <w:spacing w:line="600" w:lineRule="exact"/>
        <w:ind w:firstLine="6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直播栽培: （1）适期播种。亩播种量300～500克，种植密度为20000～30000株/亩左右为宜。（2）浅耕分厢定量直播。前茬水稻或玉米秸秆粉碎还田，根据田块大小、坡度、干湿度抢墒机械浅耕开沟起厢，以厢面宽1.5～2米进行开厢，沟宽30～40厘米，沟深20～25厘米，腰沟、围沟深25～30厘米，三沟直平通，沟间不通畅采用人工疏通。（3）免耕直播。结合气候条件和土壤墒情，采用免耕撒播浅旋盖籽播种方式免耕适墒播种，避免土壤水分遗失，提高出苗率。（4）无人机飞播。前茬水稻在机械收获前10～15天左右排水晾田；无人机飞播前或之后3天，采用水稻联合收割机收割水稻，留茬高度40～50厘米左右，秸秆粉碎抛洒还田。</w:t>
      </w:r>
    </w:p>
    <w:p>
      <w:pPr>
        <w:snapToGrid w:val="0"/>
        <w:ind w:firstLine="601"/>
        <w:jc w:val="center"/>
        <w:rPr>
          <w:rFonts w:ascii="仿宋" w:hAnsi="仿宋" w:eastAsia="仿宋"/>
          <w:sz w:val="28"/>
          <w:szCs w:val="28"/>
        </w:rPr>
        <w:sectPr>
          <w:type w:val="continuous"/>
          <w:pgSz w:w="11906" w:h="16838"/>
          <w:pgMar w:top="1440" w:right="1800" w:bottom="1440" w:left="1800" w:header="851" w:footer="992" w:gutter="0"/>
          <w:pgNumType w:fmt="numberInDash"/>
          <w:cols w:space="425" w:num="1"/>
          <w:docGrid w:type="lines" w:linePitch="312" w:charSpace="0"/>
        </w:sectPr>
      </w:pPr>
    </w:p>
    <w:p>
      <w:pPr>
        <w:snapToGrid w:val="0"/>
        <w:ind w:firstLine="601"/>
        <w:jc w:val="center"/>
        <w:rPr>
          <w:rFonts w:ascii="仿宋" w:hAnsi="仿宋" w:eastAsia="仿宋"/>
          <w:sz w:val="28"/>
          <w:szCs w:val="28"/>
        </w:rPr>
      </w:pPr>
      <w:r>
        <w:drawing>
          <wp:inline distT="0" distB="0" distL="0" distR="0">
            <wp:extent cx="2159635" cy="2159635"/>
            <wp:effectExtent l="0" t="0" r="0" b="0"/>
            <wp:docPr id="102" name="图片 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1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ind w:firstLine="601"/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点播</w:t>
      </w:r>
    </w:p>
    <w:p>
      <w:pPr>
        <w:snapToGrid w:val="0"/>
        <w:ind w:firstLine="601"/>
        <w:jc w:val="center"/>
        <w:rPr>
          <w:rFonts w:ascii="仿宋" w:hAnsi="仿宋" w:eastAsia="仿宋"/>
          <w:sz w:val="28"/>
          <w:szCs w:val="28"/>
        </w:rPr>
      </w:pPr>
      <w:r>
        <w:drawing>
          <wp:inline distT="0" distB="0" distL="0" distR="0">
            <wp:extent cx="2159635" cy="2159635"/>
            <wp:effectExtent l="0" t="0" r="0" b="0"/>
            <wp:docPr id="12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305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ind w:firstLine="601"/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撒播</w:t>
      </w:r>
    </w:p>
    <w:p>
      <w:pPr>
        <w:snapToGrid w:val="0"/>
        <w:ind w:firstLine="420" w:firstLineChars="200"/>
        <w:jc w:val="center"/>
        <w:rPr>
          <w:rFonts w:ascii="仿宋_GB2312" w:hAnsi="Times New Roman" w:eastAsia="仿宋_GB2312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2159635" cy="2159635"/>
            <wp:effectExtent l="0" t="0" r="0" b="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 w:val="0"/>
        <w:ind w:firstLine="562" w:firstLineChars="200"/>
        <w:jc w:val="center"/>
        <w:rPr>
          <w:rFonts w:ascii="仿宋_GB2312" w:hAnsi="Times New Roman" w:eastAsia="仿宋_GB2312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Times New Roman" w:eastAsia="仿宋_GB2312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机械化浅耕直播</w:t>
      </w:r>
    </w:p>
    <w:p>
      <w:pPr>
        <w:snapToGrid w:val="0"/>
        <w:ind w:firstLine="420" w:firstLineChars="200"/>
        <w:jc w:val="center"/>
        <w:rPr>
          <w:rFonts w:ascii="仿宋_GB2312" w:hAnsi="Times New Roman" w:eastAsia="仿宋_GB2312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2159635" cy="2159635"/>
            <wp:effectExtent l="0" t="0" r="0" b="0"/>
            <wp:docPr id="10" name="图片 1" descr="余昌孺直播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 descr="余昌孺直播1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 w:val="0"/>
        <w:ind w:firstLine="601"/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直播长势</w:t>
      </w:r>
    </w:p>
    <w:p>
      <w:pPr>
        <w:snapToGrid w:val="0"/>
        <w:spacing w:line="600" w:lineRule="exact"/>
        <w:ind w:firstLine="562" w:firstLineChars="200"/>
        <w:rPr>
          <w:rFonts w:ascii="仿宋_GB2312" w:hAnsi="Times New Roman" w:eastAsia="仿宋_GB2312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sectPr>
          <w:type w:val="continuous"/>
          <w:pgSz w:w="11906" w:h="16838"/>
          <w:pgMar w:top="1440" w:right="1800" w:bottom="1440" w:left="1800" w:header="851" w:footer="992" w:gutter="0"/>
          <w:pgNumType w:fmt="numberInDash"/>
          <w:cols w:space="425" w:num="2"/>
          <w:docGrid w:type="lines" w:linePitch="312" w:charSpace="0"/>
        </w:sectPr>
      </w:pPr>
    </w:p>
    <w:p>
      <w:pPr>
        <w:spacing w:line="360" w:lineRule="auto"/>
        <w:jc w:val="center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图</w:t>
      </w:r>
      <w:r>
        <w:rPr>
          <w:rFonts w:ascii="仿宋" w:hAnsi="仿宋" w:eastAsia="仿宋"/>
          <w:sz w:val="28"/>
          <w:szCs w:val="28"/>
        </w:rPr>
        <w:t>4</w:t>
      </w:r>
      <w:r>
        <w:rPr>
          <w:rFonts w:hint="eastAsia" w:ascii="仿宋" w:hAnsi="仿宋" w:eastAsia="仿宋"/>
          <w:sz w:val="28"/>
          <w:szCs w:val="28"/>
        </w:rPr>
        <w:t>：油菜直播及长势</w:t>
      </w:r>
    </w:p>
    <w:p>
      <w:pPr>
        <w:snapToGrid w:val="0"/>
        <w:spacing w:line="600" w:lineRule="exact"/>
        <w:ind w:firstLine="562" w:firstLineChars="200"/>
        <w:rPr>
          <w:rFonts w:ascii="仿宋_GB2312" w:hAnsi="Times New Roman" w:eastAsia="仿宋_GB2312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Times New Roman" w:eastAsia="仿宋_GB2312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2.田间管理</w:t>
      </w:r>
    </w:p>
    <w:p>
      <w:pPr>
        <w:snapToGrid w:val="0"/>
        <w:spacing w:line="600" w:lineRule="exact"/>
        <w:ind w:firstLine="560" w:firstLineChars="200"/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科学施肥: （1）基肥。油菜播种前底施缓控释肥或复合肥30～50公斤/亩，有条件可增施商品有机肥150～200公斤/亩。（2）追肥。油菜生长期根据长势看苗追肥，提苗肥或薹肥亩用尿素8～10公斤追施。（3）增施硼肥。可结合底肥或苗期追肥亩用硼砂或速乐硼500～1000克混施；也可在苗后期和抽薹期叶面喷施，亩用硼砂50～100克或速乐硼50～75克。</w:t>
      </w:r>
    </w:p>
    <w:p>
      <w:pPr>
        <w:snapToGrid w:val="0"/>
        <w:spacing w:line="600" w:lineRule="exact"/>
        <w:ind w:firstLine="560" w:firstLineChars="200"/>
        <w:rPr>
          <w:rFonts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hAnsi="Times New Roman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病虫草害防治: 种植前3-5d，喷雾封闭除草；苗期用吡氟氯禾灵或精喹禾灵防止杂草。危害油菜的害虫主要有跳甲、蟋蟀、菜青虫、小菜蛾和蚜虫等，用吡虫啉、溴氰菊酯、高效氯氟氰菊酯等轮换用药防治。危害油菜的病害主要有病毒病、菌核病、霜霉病、白锈病、白粉病等，用盐酸吗啉胍、氨基寡糖素喷施防治病毒病；用多菌灵等防治菌核病；化学防治霉霜病和白锈病的常用药剂有烯酰吗啉、甲霜灵等；白粉病发病初期，选用三唑酮、烯唑醇、多菌灵喷施防治。</w:t>
      </w:r>
    </w:p>
    <w:p>
      <w:pPr>
        <w:numPr>
          <w:ilvl w:val="0"/>
          <w:numId w:val="1"/>
        </w:numPr>
        <w:adjustRightInd w:val="0"/>
        <w:snapToGrid w:val="0"/>
        <w:spacing w:line="600" w:lineRule="exact"/>
        <w:ind w:firstLine="640"/>
        <w:rPr>
          <w:rFonts w:ascii="Times New Roman" w:hAnsi="Times New Roman" w:eastAsia="黑体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适宜区域</w:t>
      </w:r>
    </w:p>
    <w:p>
      <w:pPr>
        <w:adjustRightInd w:val="0"/>
        <w:snapToGrid w:val="0"/>
        <w:spacing w:line="600" w:lineRule="exact"/>
        <w:rPr>
          <w:rFonts w:ascii="Times New Roman" w:hAnsi="Times New Roman" w:eastAsia="黑体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黑体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="仿宋" w:hAnsi="仿宋" w:eastAsia="仿宋"/>
          <w:sz w:val="28"/>
          <w:szCs w:val="28"/>
        </w:rPr>
        <w:t>本技术适用于我省水源充足、排灌方便的水田。</w:t>
      </w:r>
    </w:p>
    <w:p>
      <w:pPr>
        <w:numPr>
          <w:ilvl w:val="0"/>
          <w:numId w:val="1"/>
        </w:numPr>
        <w:adjustRightInd w:val="0"/>
        <w:snapToGrid w:val="0"/>
        <w:spacing w:line="600" w:lineRule="exact"/>
        <w:ind w:firstLine="640"/>
        <w:rPr>
          <w:rFonts w:ascii="Times New Roman" w:hAnsi="Times New Roman" w:eastAsia="黑体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注意事项</w:t>
      </w:r>
    </w:p>
    <w:p>
      <w:pPr>
        <w:adjustRightInd w:val="0"/>
        <w:snapToGrid w:val="0"/>
        <w:spacing w:line="600" w:lineRule="exact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要注意水稻、油菜品种搭配，合理安排茬口衔接，水稻要保证在9月中下旬完成收获，油菜保证在5月上旬完成收获。</w:t>
      </w:r>
    </w:p>
    <w:p>
      <w:pPr>
        <w:snapToGrid w:val="0"/>
        <w:spacing w:line="560" w:lineRule="exact"/>
        <w:ind w:firstLine="640" w:firstLineChars="200"/>
        <w:rPr>
          <w:rFonts w:ascii="Times New Roman" w:hAnsi="Times New Roman" w:eastAsia="黑体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黑体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五、技术依托单位</w:t>
      </w:r>
    </w:p>
    <w:p>
      <w:pPr>
        <w:adjustRightInd w:val="0"/>
        <w:snapToGrid w:val="0"/>
        <w:spacing w:line="360" w:lineRule="auto"/>
        <w:ind w:firstLine="562" w:firstLineChars="200"/>
        <w:rPr>
          <w:rFonts w:ascii="仿宋_GB2312" w:hAnsi="仿宋_GB2312" w:eastAsia="仿宋_GB2312" w:cs="仿宋_GB2312"/>
          <w:b/>
          <w:color w:val="000000"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color w:val="000000"/>
          <w:sz w:val="28"/>
          <w:szCs w:val="28"/>
        </w:rPr>
        <w:t>1.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</w:rPr>
        <w:t>贵州省水稻研究所</w:t>
      </w:r>
    </w:p>
    <w:p>
      <w:pPr>
        <w:adjustRightInd w:val="0"/>
        <w:snapToGrid w:val="0"/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联系地址：贵阳市小河经开区省农科院内水稻所</w:t>
      </w:r>
    </w:p>
    <w:p>
      <w:pPr>
        <w:adjustRightInd w:val="0"/>
        <w:snapToGrid w:val="0"/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邮政编码：550006</w:t>
      </w:r>
    </w:p>
    <w:p>
      <w:pPr>
        <w:adjustRightInd w:val="0"/>
        <w:snapToGrid w:val="0"/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联 系 人：姬广梅</w:t>
      </w:r>
    </w:p>
    <w:p>
      <w:pPr>
        <w:adjustRightInd w:val="0"/>
        <w:snapToGrid w:val="0"/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联系电话：13595138683</w:t>
      </w:r>
    </w:p>
    <w:p>
      <w:pPr>
        <w:adjustRightInd w:val="0"/>
        <w:snapToGrid w:val="0"/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电子邮箱：</w:t>
      </w:r>
      <w:r>
        <w:rPr>
          <w:rFonts w:hint="eastAsia" w:ascii="仿宋_GB2312" w:hAnsi="仿宋_GB2312" w:eastAsia="仿宋_GB2312" w:cs="仿宋_GB2312"/>
          <w:sz w:val="28"/>
          <w:szCs w:val="28"/>
        </w:rPr>
        <w:fldChar w:fldCharType="begin"/>
      </w:r>
      <w:r>
        <w:rPr>
          <w:rFonts w:hint="eastAsia" w:ascii="仿宋_GB2312" w:hAnsi="仿宋_GB2312" w:eastAsia="仿宋_GB2312" w:cs="仿宋_GB2312"/>
          <w:sz w:val="28"/>
          <w:szCs w:val="28"/>
        </w:rPr>
        <w:instrText xml:space="preserve"> HYPERLINK "mailto:418300092@qq.com" </w:instrText>
      </w:r>
      <w:r>
        <w:rPr>
          <w:rFonts w:hint="eastAsia" w:ascii="仿宋_GB2312" w:hAnsi="仿宋_GB2312" w:eastAsia="仿宋_GB2312" w:cs="仿宋_GB2312"/>
          <w:sz w:val="28"/>
          <w:szCs w:val="28"/>
        </w:rPr>
        <w:fldChar w:fldCharType="separate"/>
      </w:r>
      <w:r>
        <w:rPr>
          <w:rFonts w:hint="eastAsia" w:ascii="仿宋_GB2312" w:hAnsi="仿宋_GB2312" w:eastAsia="仿宋_GB2312" w:cs="仿宋_GB2312"/>
          <w:sz w:val="28"/>
          <w:szCs w:val="28"/>
        </w:rPr>
        <w:t>418300092@qq.com</w:t>
      </w:r>
      <w:r>
        <w:rPr>
          <w:rFonts w:hint="eastAsia" w:ascii="仿宋_GB2312" w:hAnsi="仿宋_GB2312" w:eastAsia="仿宋_GB2312" w:cs="仿宋_GB2312"/>
          <w:sz w:val="28"/>
          <w:szCs w:val="28"/>
        </w:rPr>
        <w:fldChar w:fldCharType="end"/>
      </w:r>
    </w:p>
    <w:p>
      <w:pPr>
        <w:adjustRightInd w:val="0"/>
        <w:snapToGrid w:val="0"/>
        <w:spacing w:line="360" w:lineRule="auto"/>
        <w:ind w:firstLine="562" w:firstLineChars="200"/>
        <w:rPr>
          <w:rFonts w:ascii="仿宋_GB2312" w:hAnsi="仿宋_GB2312" w:eastAsia="仿宋_GB2312" w:cs="仿宋_GB2312"/>
          <w:b/>
          <w:color w:val="000000"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color w:val="000000"/>
          <w:sz w:val="28"/>
          <w:szCs w:val="28"/>
        </w:rPr>
        <w:t>2.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</w:rPr>
        <w:t>贵州省农作物技术推广总站</w:t>
      </w:r>
    </w:p>
    <w:p>
      <w:pPr>
        <w:adjustRightInd w:val="0"/>
        <w:snapToGrid w:val="0"/>
        <w:spacing w:line="360" w:lineRule="auto"/>
        <w:ind w:firstLine="560" w:firstLineChars="200"/>
        <w:rPr>
          <w:rFonts w:ascii="华文仿宋" w:hAnsi="华文仿宋" w:eastAsia="华文仿宋"/>
          <w:color w:val="000000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联系地址：</w:t>
      </w:r>
      <w:r>
        <w:rPr>
          <w:rFonts w:hint="eastAsia" w:ascii="华文仿宋" w:hAnsi="华文仿宋" w:eastAsia="华文仿宋"/>
          <w:color w:val="000000"/>
          <w:sz w:val="28"/>
          <w:szCs w:val="28"/>
        </w:rPr>
        <w:t>贵阳市延安中路60号，贵州省农业农村厅，贵州省农作物技术推广总站</w:t>
      </w:r>
    </w:p>
    <w:p>
      <w:pPr>
        <w:adjustRightInd w:val="0"/>
        <w:snapToGrid w:val="0"/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邮政编码：550001</w:t>
      </w:r>
    </w:p>
    <w:p>
      <w:pPr>
        <w:adjustRightInd w:val="0"/>
        <w:snapToGrid w:val="0"/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联 系 人：凡迪</w:t>
      </w:r>
    </w:p>
    <w:p>
      <w:pPr>
        <w:adjustRightInd w:val="0"/>
        <w:snapToGrid w:val="0"/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联系电话：15285966327</w:t>
      </w:r>
    </w:p>
    <w:p>
      <w:pPr>
        <w:adjustRightInd w:val="0"/>
        <w:snapToGrid w:val="0"/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电子邮箱：410509115@qq.com</w:t>
      </w:r>
    </w:p>
    <w:p>
      <w:pPr>
        <w:adjustRightInd w:val="0"/>
        <w:snapToGrid w:val="0"/>
        <w:spacing w:line="360" w:lineRule="auto"/>
        <w:ind w:firstLine="560" w:firstLineChars="200"/>
        <w:rPr>
          <w:rFonts w:ascii="仿宋_GB2312" w:hAnsi="仿宋_GB2312" w:eastAsia="仿宋_GB2312" w:cs="仿宋_GB2312"/>
          <w:sz w:val="28"/>
          <w:szCs w:val="28"/>
          <w:highlight w:val="yellow"/>
        </w:rPr>
      </w:pPr>
    </w:p>
    <w:p>
      <w:pPr>
        <w:adjustRightInd w:val="0"/>
        <w:snapToGrid w:val="0"/>
        <w:spacing w:line="360" w:lineRule="auto"/>
        <w:rPr>
          <w:rFonts w:ascii="仿宋_GB2312" w:hAnsi="仿宋_GB2312" w:eastAsia="仿宋_GB2312" w:cs="仿宋_GB2312"/>
          <w:sz w:val="28"/>
          <w:szCs w:val="28"/>
          <w:highlight w:val="yellow"/>
        </w:rPr>
      </w:pPr>
    </w:p>
    <w:p/>
    <w:sectPr>
      <w:type w:val="continuous"/>
      <w:pgSz w:w="11906" w:h="16838"/>
      <w:pgMar w:top="1440" w:right="1800" w:bottom="1440" w:left="1800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jc w:val="center"/>
      <w:rPr>
        <w:rFonts w:ascii="Times New Roman" w:hAnsi="Times New Roman" w:cs="Times New Roman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" name="文本框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1098292654"/>
                          </w:sdtPr>
                          <w:sdtEndP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</w:sdtEndPr>
                          <w:sdtContent>
                            <w:p>
                              <w:pPr>
                                <w:pStyle w:val="2"/>
                                <w:jc w:val="center"/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instrText xml:space="preserve">PAGE   \* MERGEFORMAT</w:instrTex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  <w:lang w:val="zh-CN"/>
                                </w:rPr>
                                <w:t>6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>
                          <w:pPr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CPLFPAVAgAAEw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id w:val="1098292654"/>
                    </w:sdtPr>
                    <w:sdtEndP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</w:sdtEndPr>
                    <w:sdtContent>
                      <w:p>
                        <w:pPr>
                          <w:pStyle w:val="2"/>
                          <w:jc w:val="center"/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instrText xml:space="preserve">PAGE   \* MERGEFORMAT</w:instrText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  <w:lang w:val="zh-CN"/>
                          </w:rPr>
                          <w:t>6</w:t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  <w:p>
                    <w:pPr>
                      <w:rPr>
                        <w:rFonts w:ascii="Times New Roman" w:hAnsi="Times New Roman" w:cs="Times New Roman"/>
                      </w:rPr>
                    </w:pPr>
                  </w:p>
                </w:txbxContent>
              </v:textbox>
            </v:shape>
          </w:pict>
        </mc:Fallback>
      </mc:AlternateContent>
    </w:r>
  </w:p>
  <w:p>
    <w:pPr>
      <w:pStyle w:val="2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51D9B8"/>
    <w:multiLevelType w:val="singleLevel"/>
    <w:tmpl w:val="2951D9B8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MyYjFlYjQyNzJjOTU2NWQ1MTI1MDllMWY1ZjQyZDYifQ=="/>
  </w:docVars>
  <w:rsids>
    <w:rsidRoot w:val="47307FD9"/>
    <w:rsid w:val="003304E9"/>
    <w:rsid w:val="006C682A"/>
    <w:rsid w:val="0089189B"/>
    <w:rsid w:val="00977B7F"/>
    <w:rsid w:val="00A549EE"/>
    <w:rsid w:val="00C119D9"/>
    <w:rsid w:val="00DC19CB"/>
    <w:rsid w:val="01017684"/>
    <w:rsid w:val="015E0632"/>
    <w:rsid w:val="04F12429"/>
    <w:rsid w:val="0611727F"/>
    <w:rsid w:val="07C856A7"/>
    <w:rsid w:val="0D2B1B5E"/>
    <w:rsid w:val="0D464B42"/>
    <w:rsid w:val="0D742F37"/>
    <w:rsid w:val="0D8D3228"/>
    <w:rsid w:val="0F264E85"/>
    <w:rsid w:val="10222691"/>
    <w:rsid w:val="10AF2C58"/>
    <w:rsid w:val="10C55FD8"/>
    <w:rsid w:val="114C04A7"/>
    <w:rsid w:val="11FA7F03"/>
    <w:rsid w:val="12840708"/>
    <w:rsid w:val="13620456"/>
    <w:rsid w:val="14045069"/>
    <w:rsid w:val="14096B23"/>
    <w:rsid w:val="166E7BB2"/>
    <w:rsid w:val="174D4F79"/>
    <w:rsid w:val="189F35B2"/>
    <w:rsid w:val="1B0B4F2F"/>
    <w:rsid w:val="1CC024F9"/>
    <w:rsid w:val="20BD34C4"/>
    <w:rsid w:val="20FB5A46"/>
    <w:rsid w:val="214E5B76"/>
    <w:rsid w:val="23BF0FAD"/>
    <w:rsid w:val="24246079"/>
    <w:rsid w:val="24D32F62"/>
    <w:rsid w:val="291E49C7"/>
    <w:rsid w:val="29C15A7E"/>
    <w:rsid w:val="2A094D30"/>
    <w:rsid w:val="2B365FF8"/>
    <w:rsid w:val="2CEB6984"/>
    <w:rsid w:val="2F4800A8"/>
    <w:rsid w:val="309D08C8"/>
    <w:rsid w:val="319B4E07"/>
    <w:rsid w:val="3716519F"/>
    <w:rsid w:val="380354B4"/>
    <w:rsid w:val="383D21D3"/>
    <w:rsid w:val="38B14F10"/>
    <w:rsid w:val="3A9D0CCA"/>
    <w:rsid w:val="3AAF1923"/>
    <w:rsid w:val="3B895CD0"/>
    <w:rsid w:val="3D2959BD"/>
    <w:rsid w:val="3EDF63F2"/>
    <w:rsid w:val="4093314D"/>
    <w:rsid w:val="43F660EB"/>
    <w:rsid w:val="44C94F38"/>
    <w:rsid w:val="47307FD9"/>
    <w:rsid w:val="486D24D6"/>
    <w:rsid w:val="4A3E412A"/>
    <w:rsid w:val="4ABF7E3D"/>
    <w:rsid w:val="4CC02A45"/>
    <w:rsid w:val="4D357738"/>
    <w:rsid w:val="4DF3347D"/>
    <w:rsid w:val="4E0F475B"/>
    <w:rsid w:val="53D14261"/>
    <w:rsid w:val="55A51501"/>
    <w:rsid w:val="58694D27"/>
    <w:rsid w:val="5B2D0589"/>
    <w:rsid w:val="5BE07737"/>
    <w:rsid w:val="5BE508A9"/>
    <w:rsid w:val="5D184CAE"/>
    <w:rsid w:val="60066979"/>
    <w:rsid w:val="608752DA"/>
    <w:rsid w:val="630737FB"/>
    <w:rsid w:val="6410048D"/>
    <w:rsid w:val="64874BF3"/>
    <w:rsid w:val="65824327"/>
    <w:rsid w:val="665B137A"/>
    <w:rsid w:val="68953657"/>
    <w:rsid w:val="694F13CF"/>
    <w:rsid w:val="69C918AA"/>
    <w:rsid w:val="6E8E6B7E"/>
    <w:rsid w:val="6FAA79E8"/>
    <w:rsid w:val="70F0057D"/>
    <w:rsid w:val="71E61E59"/>
    <w:rsid w:val="7487672B"/>
    <w:rsid w:val="75321A53"/>
    <w:rsid w:val="75874327"/>
    <w:rsid w:val="75C91276"/>
    <w:rsid w:val="76426BCC"/>
    <w:rsid w:val="76653BC3"/>
    <w:rsid w:val="77BED29B"/>
    <w:rsid w:val="7AE34C8A"/>
    <w:rsid w:val="7DED1E60"/>
    <w:rsid w:val="7E2801EC"/>
    <w:rsid w:val="7E7D572D"/>
    <w:rsid w:val="B4D4D7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qFormat/>
    <w:uiPriority w:val="0"/>
    <w:rPr>
      <w:sz w:val="24"/>
    </w:rPr>
  </w:style>
  <w:style w:type="character" w:styleId="7">
    <w:name w:val="Hyperlink"/>
    <w:basedOn w:val="6"/>
    <w:qFormat/>
    <w:uiPriority w:val="0"/>
    <w:rPr>
      <w:color w:val="0026E5" w:themeColor="hyperlink"/>
      <w:u w:val="single"/>
      <w14:textFill>
        <w14:solidFill>
          <w14:schemeClr w14:val="hlink"/>
        </w14:solidFill>
      </w14:textFill>
    </w:rPr>
  </w:style>
  <w:style w:type="paragraph" w:styleId="8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pn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594</Words>
  <Characters>3389</Characters>
  <Lines>28</Lines>
  <Paragraphs>7</Paragraphs>
  <TotalTime>1</TotalTime>
  <ScaleCrop>false</ScaleCrop>
  <LinksUpToDate>false</LinksUpToDate>
  <CharactersWithSpaces>3976</CharactersWithSpaces>
  <Application>WPS Office_11.8.6.9023_F1E327BC-269C-435d-A152-05C5408002CA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2023-12-26T22:13:00Z</dcterms:created>
  <dc:creator>汪妍</dc:creator>
  <cp:lastModifiedBy>Administrator</cp:lastModifiedBy>
  <dcterms:modified xsi:type="dcterms:W3CDTF">2024-04-08T03:06:31Z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2052-11.8.6.9023</vt:lpwstr>
  </property>
  <property fmtid="{D5CDD505-2E9C-101B-9397-08002B2CF9AE}" pid="3" name="ICV">
    <vt:lpwstr>ACC0475C95D04E338853CB6BDED12F26_13</vt:lpwstr>
  </property>
</Properties>
</file>