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华文中宋" w:hAnsi="华文中宋" w:eastAsia="华文中宋"/>
          <w:b/>
          <w:sz w:val="36"/>
          <w:szCs w:val="36"/>
          <w:lang w:val="en-US" w:eastAsia="zh-CN"/>
        </w:rPr>
      </w:pPr>
      <w:bookmarkStart w:id="2" w:name="_GoBack"/>
      <w:bookmarkEnd w:id="2"/>
      <w:bookmarkStart w:id="0" w:name="_Hlk95814513"/>
      <w:r>
        <w:rPr>
          <w:rFonts w:hint="eastAsia" w:ascii="华文中宋" w:hAnsi="华文中宋" w:eastAsia="华文中宋"/>
          <w:b/>
          <w:sz w:val="36"/>
          <w:szCs w:val="36"/>
          <w:lang w:val="en-US" w:eastAsia="zh-CN"/>
        </w:rPr>
        <w:t>贵州马铃薯抗旱栽培技术</w:t>
      </w:r>
    </w:p>
    <w:p/>
    <w:bookmarkEnd w:id="0"/>
    <w:p>
      <w:pPr>
        <w:adjustRightInd w:val="0"/>
        <w:snapToGrid w:val="0"/>
        <w:spacing w:line="560" w:lineRule="exact"/>
        <w:ind w:firstLine="640" w:firstLineChars="200"/>
        <w:rPr>
          <w:rFonts w:ascii="Times New Roman" w:hAnsi="Times New Roman" w:eastAsia="黑体"/>
          <w:bCs/>
          <w:sz w:val="32"/>
          <w:szCs w:val="32"/>
        </w:rPr>
      </w:pPr>
      <w:r>
        <w:rPr>
          <w:rFonts w:ascii="Times New Roman" w:hAnsi="Times New Roman" w:eastAsia="黑体"/>
          <w:bCs/>
          <w:sz w:val="32"/>
          <w:szCs w:val="32"/>
        </w:rPr>
        <w:t>一、技术概述</w:t>
      </w:r>
    </w:p>
    <w:p>
      <w:pPr>
        <w:snapToGrid w:val="0"/>
        <w:spacing w:line="560" w:lineRule="exact"/>
        <w:ind w:firstLine="643" w:firstLineChars="200"/>
        <w:rPr>
          <w:rFonts w:ascii="Times New Roman" w:hAnsi="Times New Roman" w:eastAsia="仿宋_GB2312"/>
          <w:b/>
          <w:color w:val="000000"/>
          <w:sz w:val="36"/>
          <w:szCs w:val="36"/>
        </w:rPr>
      </w:pPr>
      <w:r>
        <w:rPr>
          <w:rFonts w:ascii="Times New Roman" w:hAnsi="Times New Roman" w:eastAsia="楷体"/>
          <w:b/>
          <w:sz w:val="32"/>
          <w:szCs w:val="32"/>
        </w:rPr>
        <w:t>（一）技术基本情况</w:t>
      </w:r>
    </w:p>
    <w:p>
      <w:pPr>
        <w:adjustRightInd w:val="0"/>
        <w:snapToGrid w:val="0"/>
        <w:spacing w:line="560" w:lineRule="exact"/>
        <w:ind w:firstLine="641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针对贵州春旱严重导致马铃薯生长缓慢、严重影响产量等问题，研究形成贵州马铃薯抗旱栽培技术。通过该技术，实现了贵州马铃薯提质增效，解决了马铃薯苗期干旱无水导致出苗不齐问题，提高种植效率，保证栽培密度来确保产量不降低；通过绿肥聚垄等手段降低马铃薯膨大期旱情影响块茎发育等，保证马铃薯关键生育期块茎生长，加快了马铃薯块茎膨大，增加马铃薯产量。同时该技术的实施也为贵州马铃薯起到借鉴，实现了贵州马铃薯产业的提质增效。</w:t>
      </w:r>
    </w:p>
    <w:p>
      <w:pPr>
        <w:snapToGrid w:val="0"/>
        <w:spacing w:line="560" w:lineRule="exact"/>
        <w:ind w:firstLine="640"/>
        <w:rPr>
          <w:rFonts w:ascii="Times New Roman" w:hAnsi="Times New Roman" w:eastAsia="楷体"/>
          <w:b/>
          <w:sz w:val="32"/>
          <w:szCs w:val="32"/>
        </w:rPr>
      </w:pPr>
      <w:r>
        <w:rPr>
          <w:rFonts w:ascii="Times New Roman" w:hAnsi="Times New Roman" w:eastAsia="楷体"/>
          <w:b/>
          <w:sz w:val="32"/>
          <w:szCs w:val="32"/>
        </w:rPr>
        <w:t>（二）技术示范推广情况</w:t>
      </w:r>
    </w:p>
    <w:p>
      <w:pPr>
        <w:spacing w:line="560" w:lineRule="exact"/>
        <w:ind w:firstLine="640" w:firstLineChars="200"/>
        <w:rPr>
          <w:rFonts w:ascii="Times New Roman" w:hAnsi="Times New Roman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自2</w:t>
      </w:r>
      <w:r>
        <w:rPr>
          <w:rFonts w:ascii="仿宋_GB2312" w:hAnsi="仿宋_GB2312" w:eastAsia="仿宋_GB2312" w:cs="仿宋_GB2312"/>
          <w:sz w:val="32"/>
          <w:szCs w:val="32"/>
        </w:rPr>
        <w:t>0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22</w:t>
      </w:r>
      <w:r>
        <w:rPr>
          <w:rFonts w:hint="eastAsia" w:ascii="仿宋_GB2312" w:hAnsi="仿宋_GB2312" w:eastAsia="仿宋_GB2312" w:cs="仿宋_GB2312"/>
          <w:sz w:val="32"/>
          <w:szCs w:val="32"/>
        </w:rPr>
        <w:t>年以来在贵州平坝、威宁、荔波、毕节等地区进行示范、推广，每年总示范面积均在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10</w:t>
      </w:r>
      <w:r>
        <w:rPr>
          <w:rFonts w:hint="eastAsia" w:ascii="仿宋_GB2312" w:hAnsi="仿宋_GB2312" w:eastAsia="仿宋_GB2312" w:cs="仿宋_GB2312"/>
          <w:sz w:val="32"/>
          <w:szCs w:val="32"/>
        </w:rPr>
        <w:t>万亩以上。该技术能有效降低马铃薯抗旱保墒，提高成效比，示范地企业和农户的一致好评。</w:t>
      </w:r>
    </w:p>
    <w:p>
      <w:pPr>
        <w:snapToGrid w:val="0"/>
        <w:spacing w:line="560" w:lineRule="exact"/>
        <w:ind w:firstLine="640"/>
        <w:rPr>
          <w:rFonts w:ascii="Times New Roman" w:hAnsi="Times New Roman" w:eastAsia="楷体"/>
          <w:b/>
          <w:sz w:val="32"/>
          <w:szCs w:val="32"/>
        </w:rPr>
      </w:pPr>
      <w:r>
        <w:rPr>
          <w:rFonts w:ascii="Times New Roman" w:hAnsi="Times New Roman" w:eastAsia="楷体"/>
          <w:b/>
          <w:sz w:val="32"/>
          <w:szCs w:val="32"/>
        </w:rPr>
        <w:t>（三）提质增效情况</w:t>
      </w:r>
    </w:p>
    <w:p>
      <w:pPr>
        <w:adjustRightInd w:val="0"/>
        <w:snapToGrid w:val="0"/>
        <w:spacing w:line="560" w:lineRule="exact"/>
        <w:ind w:firstLine="641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与马铃薯传统种植方式相比，应用该技术马铃薯亩产能增加约1</w:t>
      </w:r>
      <w:r>
        <w:rPr>
          <w:rFonts w:ascii="仿宋_GB2312" w:hAnsi="仿宋_GB2312" w:eastAsia="仿宋_GB2312" w:cs="仿宋_GB2312"/>
          <w:sz w:val="32"/>
          <w:szCs w:val="32"/>
        </w:rPr>
        <w:t>0%</w:t>
      </w:r>
      <w:r>
        <w:rPr>
          <w:rFonts w:hint="eastAsia" w:ascii="仿宋_GB2312" w:hAnsi="仿宋_GB2312" w:eastAsia="仿宋_GB2312" w:cs="仿宋_GB2312"/>
          <w:sz w:val="32"/>
          <w:szCs w:val="32"/>
        </w:rPr>
        <w:t>以上，旱情较为严重时，可增产3</w:t>
      </w:r>
      <w:r>
        <w:rPr>
          <w:rFonts w:ascii="仿宋_GB2312" w:hAnsi="仿宋_GB2312" w:eastAsia="仿宋_GB2312" w:cs="仿宋_GB2312"/>
          <w:sz w:val="32"/>
          <w:szCs w:val="32"/>
        </w:rPr>
        <w:t>0%</w:t>
      </w:r>
      <w:r>
        <w:rPr>
          <w:rFonts w:hint="eastAsia" w:ascii="仿宋_GB2312" w:hAnsi="仿宋_GB2312" w:eastAsia="仿宋_GB2312" w:cs="仿宋_GB2312"/>
          <w:sz w:val="32"/>
          <w:szCs w:val="32"/>
        </w:rPr>
        <w:t>以上。根据每亩产量</w:t>
      </w:r>
      <w:r>
        <w:rPr>
          <w:rFonts w:ascii="仿宋_GB2312" w:hAnsi="仿宋_GB2312" w:eastAsia="仿宋_GB2312" w:cs="仿宋_GB2312"/>
          <w:sz w:val="32"/>
          <w:szCs w:val="32"/>
        </w:rPr>
        <w:t>2500</w:t>
      </w:r>
      <w:r>
        <w:rPr>
          <w:rFonts w:hint="eastAsia" w:ascii="仿宋_GB2312" w:hAnsi="仿宋_GB2312" w:eastAsia="仿宋_GB2312" w:cs="仿宋_GB2312"/>
          <w:sz w:val="32"/>
          <w:szCs w:val="32"/>
        </w:rPr>
        <w:t>kg、价格每公斤2元来算，亩增收</w:t>
      </w:r>
      <w:r>
        <w:rPr>
          <w:rFonts w:ascii="仿宋_GB2312" w:hAnsi="仿宋_GB2312" w:eastAsia="仿宋_GB2312" w:cs="仿宋_GB2312"/>
          <w:sz w:val="32"/>
          <w:szCs w:val="32"/>
        </w:rPr>
        <w:t>500</w:t>
      </w:r>
      <w:r>
        <w:rPr>
          <w:rFonts w:hint="eastAsia" w:ascii="仿宋_GB2312" w:hAnsi="仿宋_GB2312" w:eastAsia="仿宋_GB2312" w:cs="仿宋_GB2312"/>
          <w:sz w:val="32"/>
          <w:szCs w:val="32"/>
        </w:rPr>
        <w:t>元</w:t>
      </w:r>
      <w:r>
        <w:rPr>
          <w:rFonts w:ascii="仿宋_GB2312" w:hAnsi="仿宋_GB2312" w:eastAsia="仿宋_GB2312" w:cs="仿宋_GB2312"/>
          <w:sz w:val="32"/>
          <w:szCs w:val="32"/>
        </w:rPr>
        <w:t>~1500</w:t>
      </w:r>
      <w:r>
        <w:rPr>
          <w:rFonts w:hint="eastAsia" w:ascii="仿宋_GB2312" w:hAnsi="仿宋_GB2312" w:eastAsia="仿宋_GB2312" w:cs="仿宋_GB2312"/>
          <w:sz w:val="32"/>
          <w:szCs w:val="32"/>
        </w:rPr>
        <w:t>元左右，大大提高种植马铃薯的经济价值。</w:t>
      </w:r>
    </w:p>
    <w:p>
      <w:pPr>
        <w:snapToGrid w:val="0"/>
        <w:spacing w:line="560" w:lineRule="exact"/>
        <w:ind w:firstLine="643" w:firstLineChars="200"/>
        <w:rPr>
          <w:rFonts w:ascii="Times New Roman" w:hAnsi="Times New Roman" w:eastAsia="楷体_GB2312"/>
          <w:b/>
          <w:i/>
          <w:color w:val="000000"/>
          <w:sz w:val="28"/>
          <w:szCs w:val="28"/>
        </w:rPr>
      </w:pPr>
      <w:r>
        <w:rPr>
          <w:rFonts w:ascii="Times New Roman" w:hAnsi="Times New Roman" w:eastAsia="楷体"/>
          <w:b/>
          <w:sz w:val="32"/>
          <w:szCs w:val="32"/>
        </w:rPr>
        <w:t>（四）技术获奖情况</w:t>
      </w:r>
    </w:p>
    <w:p>
      <w:pPr>
        <w:adjustRightInd w:val="0"/>
        <w:snapToGrid w:val="0"/>
        <w:spacing w:line="560" w:lineRule="exact"/>
        <w:ind w:firstLine="641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未申报科技奖励。</w:t>
      </w:r>
    </w:p>
    <w:p>
      <w:pPr>
        <w:snapToGrid w:val="0"/>
        <w:spacing w:line="560" w:lineRule="exact"/>
        <w:ind w:firstLine="640" w:firstLineChars="200"/>
        <w:rPr>
          <w:rFonts w:ascii="Times New Roman" w:hAnsi="Times New Roman" w:eastAsia="黑体"/>
          <w:color w:val="000000"/>
          <w:sz w:val="36"/>
          <w:szCs w:val="36"/>
        </w:rPr>
      </w:pPr>
      <w:r>
        <w:rPr>
          <w:rFonts w:ascii="Times New Roman" w:hAnsi="Times New Roman" w:eastAsia="黑体"/>
          <w:sz w:val="32"/>
          <w:szCs w:val="32"/>
        </w:rPr>
        <w:t>二、技术要点</w:t>
      </w:r>
    </w:p>
    <w:p>
      <w:pPr>
        <w:adjustRightInd w:val="0"/>
        <w:snapToGrid w:val="0"/>
        <w:spacing w:line="560" w:lineRule="exact"/>
        <w:ind w:firstLine="803" w:firstLineChars="250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1.整理地块及播种时间选择</w:t>
      </w:r>
      <w:r>
        <w:rPr>
          <w:rFonts w:hint="eastAsia" w:ascii="仿宋_GB2312" w:hAnsi="仿宋_GB2312" w:eastAsia="仿宋_GB2312" w:cs="仿宋_GB2312"/>
          <w:sz w:val="32"/>
          <w:szCs w:val="32"/>
        </w:rPr>
        <w:t>。播种前90d选择土层深厚、有机质含量高的砂壤土或轻壤土地块，前茬不是茄科作物；于上茬作物收获后种植紫云英、油菜等绿肥作物。前茬作物收获后及时翻犁炕冬，播种前进行地块清园与整地，耕整深度＞20 cm，地块无明显凹凸不平。绿肥地块则在播种前1 d～2 d将绿肥刈割，再进行土地耕整。种薯应选择原种、一级种或二级种，种薯质量应符合GB 18133—2012的相关等级标准。当土壤10 cm深处地温稳定在7 ℃以上即可开始播种，亦可采取依据当地历年晚霜时间确定播种时间，于晚霜前30 d～45 d完成播种。</w:t>
      </w:r>
    </w:p>
    <w:p>
      <w:pPr>
        <w:adjustRightInd w:val="0"/>
        <w:snapToGrid w:val="0"/>
        <w:spacing w:line="560" w:lineRule="exact"/>
        <w:ind w:firstLine="803" w:firstLineChars="250"/>
        <w:rPr>
          <w:rFonts w:ascii="仿宋_GB2312" w:hAnsi="仿宋_GB2312" w:eastAsia="仿宋_GB2312" w:cs="仿宋_GB2312"/>
          <w:sz w:val="32"/>
          <w:szCs w:val="32"/>
        </w:rPr>
      </w:pPr>
      <w:bookmarkStart w:id="1" w:name="_Hlk95992938"/>
      <w:r>
        <w:rPr>
          <w:rFonts w:ascii="仿宋_GB2312" w:hAnsi="仿宋_GB2312" w:eastAsia="仿宋_GB2312" w:cs="仿宋_GB2312"/>
          <w:b/>
          <w:bCs/>
          <w:sz w:val="32"/>
          <w:szCs w:val="32"/>
        </w:rPr>
        <w:t>2.</w:t>
      </w:r>
      <w:bookmarkEnd w:id="1"/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种薯处理</w:t>
      </w:r>
      <w:r>
        <w:rPr>
          <w:rFonts w:hint="eastAsia" w:ascii="仿宋_GB2312" w:hAnsi="仿宋_GB2312" w:eastAsia="仿宋_GB2312" w:cs="仿宋_GB2312"/>
          <w:sz w:val="32"/>
          <w:szCs w:val="32"/>
        </w:rPr>
        <w:t>。播种前2 d～3 d进行种薯切块处理，单个薯块重50 g以下采取整薯播种，50 g～100 g依据种薯准备量选择切块或整薯播种，尽量采取整薯播种，单个薯块重100g以上的种薯进行切块，采取纵切或斜切，每个切块确保有1～2个芽眼，单个切块重应不低于30 g。切块时准备2把刀具，切块前用0.5%高锰酸钾溶液浸泡消毒刀具，每切一个种薯更换一次刀具，更换的刀具放入消毒液中消毒，切块结束后集中销毁带病薯块。种薯切块完成后2 h内进行包衣处理，处理完成后在通风保温条件下摊晾催芽2 d～3 d，种薯摊晾厚度应不超过20 cm，种薯上面不得有透气性差的覆盖物，当芽露白即可播种。</w:t>
      </w:r>
    </w:p>
    <w:p>
      <w:pPr>
        <w:ind w:firstLine="803" w:firstLineChars="250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ascii="仿宋_GB2312" w:hAnsi="仿宋_GB2312" w:eastAsia="仿宋_GB2312" w:cs="仿宋_GB2312"/>
          <w:b/>
          <w:bCs/>
          <w:sz w:val="32"/>
          <w:szCs w:val="32"/>
        </w:rPr>
        <w:t>3.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播种方法</w:t>
      </w:r>
      <w:r>
        <w:rPr>
          <w:rFonts w:hint="eastAsia" w:ascii="仿宋_GB2312" w:hAnsi="仿宋_GB2312" w:eastAsia="仿宋_GB2312" w:cs="仿宋_GB2312"/>
          <w:sz w:val="32"/>
          <w:szCs w:val="32"/>
        </w:rPr>
        <w:t>。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垄作覆膜：</w:t>
      </w:r>
      <w:r>
        <w:rPr>
          <w:rFonts w:hint="eastAsia" w:ascii="仿宋_GB2312" w:hAnsi="仿宋_GB2312" w:eastAsia="仿宋_GB2312" w:cs="仿宋_GB2312"/>
          <w:sz w:val="32"/>
          <w:szCs w:val="32"/>
        </w:rPr>
        <w:t>按宽行90 cm窄行30 cm开播种沟，沟深15 cm～20 cm，每沟摆放种薯1行，按株距25 cm～32 cm放置于沟底，复合肥放置在种薯之间，然后盖腐熟的农家肥；之后沿宽行中间向两侧覆土使窄行成垄，垄面宽80 cm，垄高15 cm，成垄后薯块离垄表面10 cm；最后盖宽度100 cm厚0.008 mm的透明薄膜，薄膜四周及垄面用土压实。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绿肥聚垄：</w:t>
      </w:r>
      <w:r>
        <w:rPr>
          <w:rFonts w:hint="eastAsia" w:ascii="仿宋_GB2312" w:hAnsi="仿宋_GB2312" w:eastAsia="仿宋_GB2312" w:cs="仿宋_GB2312"/>
          <w:sz w:val="32"/>
          <w:szCs w:val="32"/>
        </w:rPr>
        <w:t>摆放种薯与垄作覆膜方式相同，摆放完成后盖3 cm薄土于种薯上，再盖新刈割的绿肥将播种沟填平，沿宽行中间向两侧覆土使窄行成垄，绿肥应用土充分盖严不外露。</w:t>
      </w:r>
    </w:p>
    <w:p>
      <w:pPr>
        <w:ind w:firstLine="803" w:firstLineChars="250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4</w:t>
      </w:r>
      <w:r>
        <w:rPr>
          <w:rFonts w:ascii="仿宋_GB2312" w:hAnsi="仿宋_GB2312" w:eastAsia="仿宋_GB2312" w:cs="仿宋_GB2312"/>
          <w:b/>
          <w:bCs/>
          <w:sz w:val="32"/>
          <w:szCs w:val="32"/>
        </w:rPr>
        <w:t>.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中期管理</w:t>
      </w:r>
      <w:r>
        <w:rPr>
          <w:rFonts w:hint="eastAsia" w:ascii="仿宋_GB2312" w:hAnsi="仿宋_GB2312" w:eastAsia="仿宋_GB2312" w:cs="仿宋_GB2312"/>
          <w:sz w:val="32"/>
          <w:szCs w:val="32"/>
        </w:rPr>
        <w:t>。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垄作覆膜栽培</w:t>
      </w:r>
      <w:r>
        <w:rPr>
          <w:rFonts w:hint="eastAsia" w:ascii="仿宋_GB2312" w:hAnsi="仿宋_GB2312" w:eastAsia="仿宋_GB2312" w:cs="仿宋_GB2312"/>
          <w:sz w:val="32"/>
          <w:szCs w:val="32"/>
        </w:rPr>
        <w:t>应及时放苗，播种25 d～30 d后，马铃薯苗出土未顶膜前应破膜放苗，将马铃薯苗露出厢面膜外，并用泥土将出苗口四周的膜压严；块茎膨大期及时揭膜除草培土，每667 m</w:t>
      </w:r>
      <w:r>
        <w:rPr>
          <w:rFonts w:ascii="仿宋_GB2312" w:hAnsi="仿宋_GB2312" w:eastAsia="仿宋_GB2312" w:cs="仿宋_GB2312"/>
          <w:sz w:val="32"/>
          <w:szCs w:val="32"/>
          <w:vertAlign w:val="superscript"/>
        </w:rPr>
        <w:t>2</w:t>
      </w:r>
      <w:r>
        <w:rPr>
          <w:rFonts w:hint="eastAsia" w:ascii="仿宋_GB2312" w:hAnsi="仿宋_GB2312" w:eastAsia="仿宋_GB2312" w:cs="仿宋_GB2312"/>
          <w:sz w:val="32"/>
          <w:szCs w:val="32"/>
        </w:rPr>
        <w:t>施尿素10 kg。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绿肥聚垄</w:t>
      </w:r>
      <w:r>
        <w:rPr>
          <w:rFonts w:hint="eastAsia" w:ascii="仿宋_GB2312" w:hAnsi="仿宋_GB2312" w:eastAsia="仿宋_GB2312" w:cs="仿宋_GB2312"/>
          <w:sz w:val="32"/>
          <w:szCs w:val="32"/>
        </w:rPr>
        <w:t>齐苗后进行垄面培土，垄面宽80 cm，垄高15 cm，结合培土每667 m</w:t>
      </w:r>
      <w:r>
        <w:rPr>
          <w:rFonts w:ascii="仿宋_GB2312" w:hAnsi="仿宋_GB2312" w:eastAsia="仿宋_GB2312" w:cs="仿宋_GB2312"/>
          <w:sz w:val="32"/>
          <w:szCs w:val="32"/>
          <w:vertAlign w:val="superscript"/>
        </w:rPr>
        <w:t>2</w:t>
      </w:r>
      <w:r>
        <w:rPr>
          <w:rFonts w:hint="eastAsia" w:ascii="仿宋_GB2312" w:hAnsi="仿宋_GB2312" w:eastAsia="仿宋_GB2312" w:cs="仿宋_GB2312"/>
          <w:sz w:val="32"/>
          <w:szCs w:val="32"/>
        </w:rPr>
        <w:t>施尿素10 kg～15 kg。</w:t>
      </w:r>
    </w:p>
    <w:p>
      <w:pPr>
        <w:ind w:firstLine="800" w:firstLineChars="250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出苗后若遇极端干旱气候，应及时喷施抗旱保水剂、抗蒸腾剂等。</w:t>
      </w:r>
    </w:p>
    <w:p>
      <w:pPr>
        <w:ind w:firstLine="803" w:firstLineChars="25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ascii="仿宋_GB2312" w:hAnsi="仿宋_GB2312" w:eastAsia="仿宋_GB2312" w:cs="仿宋_GB2312"/>
          <w:b/>
          <w:bCs/>
          <w:sz w:val="32"/>
          <w:szCs w:val="32"/>
        </w:rPr>
        <w:t>5.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病虫害防控及收获</w:t>
      </w:r>
      <w:r>
        <w:rPr>
          <w:rFonts w:hint="eastAsia" w:ascii="仿宋_GB2312" w:hAnsi="仿宋_GB2312" w:eastAsia="仿宋_GB2312" w:cs="仿宋_GB2312"/>
          <w:sz w:val="32"/>
          <w:szCs w:val="32"/>
        </w:rPr>
        <w:t>。防控参照NY/T 1783—2009规定，农药的施用应符合NY/T 1276—2007、GB/T 8321（所有部分）相关规定。收获应选择晴好天气上午收获下午分拣，去除破烂、畸形后进行分级包装，按照单个薯块重作为分级依据，＜50 g为小薯、50 g～150 g为中薯、＞150 g为大薯。</w:t>
      </w:r>
    </w:p>
    <w:p>
      <w:pPr>
        <w:adjustRightInd w:val="0"/>
        <w:snapToGrid w:val="0"/>
        <w:ind w:firstLine="420" w:firstLineChars="200"/>
        <w:jc w:val="center"/>
        <w:rPr>
          <w:rFonts w:cs="仿宋_GB2312" w:asciiTheme="minorEastAsia" w:hAnsiTheme="minorEastAsia"/>
          <w:sz w:val="32"/>
          <w:szCs w:val="32"/>
        </w:rPr>
      </w:pPr>
      <w:r>
        <w:drawing>
          <wp:inline distT="0" distB="0" distL="0" distR="0">
            <wp:extent cx="4251960" cy="2834005"/>
            <wp:effectExtent l="0" t="0" r="0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260660" cy="2840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jc w:val="center"/>
        <w:rPr>
          <w:rFonts w:cs="方正小标宋简体" w:asciiTheme="minorEastAsia" w:hAnsiTheme="minorEastAsia"/>
          <w:sz w:val="28"/>
          <w:szCs w:val="28"/>
        </w:rPr>
      </w:pPr>
      <w:r>
        <w:rPr>
          <w:rFonts w:hint="eastAsia" w:cs="仿宋_GB2312" w:asciiTheme="minorEastAsia" w:hAnsiTheme="minorEastAsia"/>
          <w:sz w:val="28"/>
          <w:szCs w:val="28"/>
        </w:rPr>
        <w:t>图</w:t>
      </w:r>
      <w:r>
        <w:rPr>
          <w:rFonts w:cs="仿宋_GB2312" w:asciiTheme="minorEastAsia" w:hAnsiTheme="minorEastAsia"/>
          <w:sz w:val="28"/>
          <w:szCs w:val="28"/>
        </w:rPr>
        <w:t>1</w:t>
      </w:r>
      <w:r>
        <w:rPr>
          <w:rFonts w:hint="eastAsia" w:cs="方正小标宋简体" w:asciiTheme="minorEastAsia" w:hAnsiTheme="minorEastAsia"/>
          <w:sz w:val="28"/>
          <w:szCs w:val="28"/>
        </w:rPr>
        <w:t>绿肥聚垄</w:t>
      </w:r>
    </w:p>
    <w:p>
      <w:pPr>
        <w:adjustRightInd w:val="0"/>
        <w:snapToGrid w:val="0"/>
        <w:spacing w:line="600" w:lineRule="exact"/>
        <w:jc w:val="center"/>
        <w:rPr>
          <w:rFonts w:cs="仿宋_GB2312" w:asciiTheme="minorEastAsia" w:hAnsiTheme="minorEastAsia"/>
          <w:sz w:val="24"/>
        </w:rPr>
      </w:pPr>
    </w:p>
    <w:p>
      <w:pPr>
        <w:adjustRightInd w:val="0"/>
        <w:snapToGrid w:val="0"/>
        <w:jc w:val="center"/>
        <w:rPr>
          <w:rFonts w:hint="eastAsia" w:cs="仿宋_GB2312" w:asciiTheme="minorEastAsia" w:hAnsiTheme="minorEastAsia" w:eastAsiaTheme="minorEastAsia"/>
          <w:sz w:val="32"/>
          <w:szCs w:val="32"/>
          <w:lang w:eastAsia="zh-CN"/>
        </w:rPr>
      </w:pPr>
      <w:r>
        <w:rPr>
          <w:rFonts w:hint="eastAsia" w:cs="仿宋_GB2312" w:asciiTheme="minorEastAsia" w:hAnsiTheme="minorEastAsia" w:eastAsiaTheme="minorEastAsia"/>
          <w:sz w:val="32"/>
          <w:szCs w:val="32"/>
          <w:lang w:eastAsia="zh-CN"/>
        </w:rPr>
        <w:drawing>
          <wp:inline distT="0" distB="0" distL="114300" distR="114300">
            <wp:extent cx="4467225" cy="3350260"/>
            <wp:effectExtent l="0" t="0" r="9525" b="2540"/>
            <wp:docPr id="2" name="图片 2" descr="522ff1a06e8adcda54460eb6c70c5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522ff1a06e8adcda54460eb6c70c56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3350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jc w:val="center"/>
        <w:rPr>
          <w:rFonts w:cs="仿宋_GB2312" w:asciiTheme="minorEastAsia" w:hAnsiTheme="minorEastAsia"/>
          <w:sz w:val="28"/>
          <w:szCs w:val="28"/>
        </w:rPr>
      </w:pPr>
      <w:r>
        <w:rPr>
          <w:rFonts w:cs="仿宋_GB2312" w:asciiTheme="minorEastAsia" w:hAnsiTheme="minorEastAsia"/>
          <w:sz w:val="28"/>
          <w:szCs w:val="28"/>
        </w:rPr>
        <w:t xml:space="preserve"> 图2覆</w:t>
      </w:r>
      <w:r>
        <w:rPr>
          <w:rFonts w:hint="eastAsia" w:cs="仿宋_GB2312" w:asciiTheme="minorEastAsia" w:hAnsiTheme="minorEastAsia"/>
          <w:sz w:val="28"/>
          <w:szCs w:val="28"/>
        </w:rPr>
        <w:t>盖地膜</w:t>
      </w:r>
    </w:p>
    <w:p>
      <w:pPr>
        <w:adjustRightInd w:val="0"/>
        <w:snapToGrid w:val="0"/>
        <w:jc w:val="center"/>
        <w:rPr>
          <w:rFonts w:hint="eastAsia" w:cs="仿宋_GB2312" w:asciiTheme="minorEastAsia" w:hAnsiTheme="minorEastAsia"/>
          <w:sz w:val="28"/>
          <w:szCs w:val="28"/>
        </w:rPr>
      </w:pPr>
    </w:p>
    <w:p>
      <w:pPr>
        <w:adjustRightInd w:val="0"/>
        <w:snapToGrid w:val="0"/>
        <w:spacing w:line="560" w:lineRule="exact"/>
        <w:ind w:firstLine="640"/>
        <w:rPr>
          <w:rFonts w:ascii="Times New Roman" w:hAnsi="Times New Roman" w:eastAsia="黑体"/>
          <w:sz w:val="32"/>
          <w:szCs w:val="32"/>
        </w:rPr>
      </w:pPr>
      <w:r>
        <w:rPr>
          <w:rFonts w:ascii="Times New Roman" w:hAnsi="Times New Roman" w:eastAsia="黑体"/>
          <w:sz w:val="32"/>
          <w:szCs w:val="32"/>
        </w:rPr>
        <w:t>三、适宜区域</w:t>
      </w:r>
    </w:p>
    <w:p>
      <w:pPr>
        <w:adjustRightInd w:val="0"/>
        <w:snapToGrid w:val="0"/>
        <w:spacing w:line="560" w:lineRule="exact"/>
        <w:ind w:firstLine="641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全省马铃薯主产区。</w:t>
      </w:r>
    </w:p>
    <w:p>
      <w:pPr>
        <w:adjustRightInd w:val="0"/>
        <w:snapToGrid w:val="0"/>
        <w:spacing w:line="540" w:lineRule="exact"/>
        <w:ind w:firstLine="640"/>
        <w:rPr>
          <w:rFonts w:ascii="Times New Roman" w:hAnsi="Times New Roman" w:eastAsia="黑体"/>
          <w:sz w:val="32"/>
          <w:szCs w:val="32"/>
        </w:rPr>
      </w:pPr>
      <w:r>
        <w:rPr>
          <w:rFonts w:ascii="Times New Roman" w:hAnsi="Times New Roman" w:eastAsia="黑体"/>
          <w:sz w:val="32"/>
          <w:szCs w:val="32"/>
        </w:rPr>
        <w:t>四、注意事项</w:t>
      </w:r>
    </w:p>
    <w:p>
      <w:pPr>
        <w:snapToGrid w:val="0"/>
        <w:spacing w:line="540" w:lineRule="exact"/>
        <w:ind w:firstLine="640" w:firstLineChars="200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绿肥和地膜种类多样，可根据不同的目的，选择合适的绿肥品种和地膜，增加生产效益。</w:t>
      </w:r>
    </w:p>
    <w:p>
      <w:pPr>
        <w:snapToGrid w:val="0"/>
        <w:spacing w:line="540" w:lineRule="exact"/>
        <w:ind w:firstLine="640" w:firstLineChars="200"/>
        <w:rPr>
          <w:rFonts w:ascii="Times New Roman" w:hAnsi="Times New Roman" w:eastAsia="黑体"/>
          <w:color w:val="000000"/>
          <w:sz w:val="36"/>
          <w:szCs w:val="36"/>
        </w:rPr>
      </w:pPr>
      <w:r>
        <w:rPr>
          <w:rFonts w:ascii="Times New Roman" w:hAnsi="Times New Roman" w:eastAsia="黑体"/>
          <w:sz w:val="32"/>
          <w:szCs w:val="32"/>
        </w:rPr>
        <w:t>五、技术依托单位</w:t>
      </w:r>
    </w:p>
    <w:p>
      <w:pPr>
        <w:adjustRightInd w:val="0"/>
        <w:snapToGrid w:val="0"/>
        <w:spacing w:line="540" w:lineRule="exact"/>
        <w:ind w:firstLine="641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贵州省马铃薯研究所</w:t>
      </w:r>
    </w:p>
    <w:p>
      <w:pPr>
        <w:adjustRightInd w:val="0"/>
        <w:snapToGrid w:val="0"/>
        <w:spacing w:line="540" w:lineRule="exact"/>
        <w:ind w:firstLine="641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联系地址：贵州省贵阳市花溪区金竹镇金农社区</w:t>
      </w:r>
    </w:p>
    <w:p>
      <w:pPr>
        <w:adjustRightInd w:val="0"/>
        <w:snapToGrid w:val="0"/>
        <w:spacing w:line="540" w:lineRule="exact"/>
        <w:ind w:firstLine="641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邮政编码：550006</w:t>
      </w:r>
    </w:p>
    <w:p>
      <w:pPr>
        <w:adjustRightInd w:val="0"/>
        <w:snapToGrid w:val="0"/>
        <w:spacing w:line="540" w:lineRule="exact"/>
        <w:ind w:firstLine="641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联系人：范士杰</w:t>
      </w:r>
    </w:p>
    <w:p>
      <w:pPr>
        <w:adjustRightInd w:val="0"/>
        <w:snapToGrid w:val="0"/>
        <w:spacing w:line="540" w:lineRule="exact"/>
        <w:ind w:firstLine="641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联系电话：0851-83760332，13985413128</w:t>
      </w:r>
    </w:p>
    <w:p>
      <w:pPr>
        <w:adjustRightInd w:val="0"/>
        <w:snapToGrid w:val="0"/>
        <w:spacing w:line="540" w:lineRule="exact"/>
        <w:ind w:firstLine="641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电子邮箱：fsjgy200@sina.com</w:t>
      </w:r>
    </w:p>
    <w:sectPr>
      <w:footerReference r:id="rId3" w:type="default"/>
      <w:pgSz w:w="11906" w:h="16838"/>
      <w:pgMar w:top="1440" w:right="1800" w:bottom="1440" w:left="1800" w:header="851" w:footer="992" w:gutter="0"/>
      <w:pgNumType w:fmt="numberInDash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华文中宋">
    <w:altName w:val="宋体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t>1</w:t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CzSVju0AAAAAUBAAAPAAAAAAAAAAEAIAAA&#10;ACIAAABkcnMvZG93bnJldi54bWxQSwECFAAUAAAACACHTuJAwN7nihQCAAATBAAADgAAAAAAAAAB&#10;ACAAAAAfAQAAZHJzL2Uyb0RvYy54bWxQSwUGAAAAAAYABgBZAQAAp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</w:pP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t>1</w:t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FkNzIzMDhkMjJkNmQxMmVjNWMyMDc3OThkY2Y4M2UifQ=="/>
    <w:docVar w:name="KSO_WPS_MARK_KEY" w:val="6772ba07-7369-437f-b930-9a6fcf3614a5"/>
  </w:docVars>
  <w:rsids>
    <w:rsidRoot w:val="57B37D0E"/>
    <w:rsid w:val="00156553"/>
    <w:rsid w:val="00190B17"/>
    <w:rsid w:val="001954D8"/>
    <w:rsid w:val="001E76DC"/>
    <w:rsid w:val="001F7C3F"/>
    <w:rsid w:val="00212A53"/>
    <w:rsid w:val="002728A8"/>
    <w:rsid w:val="0036295C"/>
    <w:rsid w:val="00367DC3"/>
    <w:rsid w:val="003C672F"/>
    <w:rsid w:val="00401827"/>
    <w:rsid w:val="00420135"/>
    <w:rsid w:val="00457692"/>
    <w:rsid w:val="004B3BCF"/>
    <w:rsid w:val="004E1C8F"/>
    <w:rsid w:val="0056606C"/>
    <w:rsid w:val="005724CE"/>
    <w:rsid w:val="005A4888"/>
    <w:rsid w:val="005A5CD1"/>
    <w:rsid w:val="005F3A23"/>
    <w:rsid w:val="0066242F"/>
    <w:rsid w:val="00677611"/>
    <w:rsid w:val="00821558"/>
    <w:rsid w:val="00870668"/>
    <w:rsid w:val="008A5F62"/>
    <w:rsid w:val="008D1791"/>
    <w:rsid w:val="0096629A"/>
    <w:rsid w:val="00A5289D"/>
    <w:rsid w:val="00A83100"/>
    <w:rsid w:val="00B01C56"/>
    <w:rsid w:val="00B26D2C"/>
    <w:rsid w:val="00B45840"/>
    <w:rsid w:val="00BA087A"/>
    <w:rsid w:val="00C46BE2"/>
    <w:rsid w:val="00D75902"/>
    <w:rsid w:val="00D80457"/>
    <w:rsid w:val="00D9048A"/>
    <w:rsid w:val="00E033BD"/>
    <w:rsid w:val="00E230AB"/>
    <w:rsid w:val="00E70326"/>
    <w:rsid w:val="00EE5F43"/>
    <w:rsid w:val="00F62D42"/>
    <w:rsid w:val="00FE5865"/>
    <w:rsid w:val="0F503CB0"/>
    <w:rsid w:val="154B09C6"/>
    <w:rsid w:val="1CF06807"/>
    <w:rsid w:val="216B4607"/>
    <w:rsid w:val="2A4C4AEA"/>
    <w:rsid w:val="4DF416CF"/>
    <w:rsid w:val="4E925476"/>
    <w:rsid w:val="57B37D0E"/>
    <w:rsid w:val="69847953"/>
    <w:rsid w:val="6E8764A3"/>
    <w:rsid w:val="71C878F6"/>
    <w:rsid w:val="75FB7117"/>
    <w:rsid w:val="79BF00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5">
    <w:name w:val="heading 1"/>
    <w:basedOn w:val="1"/>
    <w:next w:val="1"/>
    <w:qFormat/>
    <w:uiPriority w:val="0"/>
    <w:pPr>
      <w:keepNext/>
      <w:keepLines/>
      <w:spacing w:beforeLines="100" w:afterLines="100" w:line="360" w:lineRule="exact"/>
      <w:jc w:val="center"/>
      <w:outlineLvl w:val="0"/>
    </w:pPr>
    <w:rPr>
      <w:rFonts w:eastAsia="黑体"/>
      <w:bCs/>
      <w:kern w:val="44"/>
      <w:sz w:val="32"/>
      <w:szCs w:val="44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正文-公1"/>
    <w:basedOn w:val="3"/>
    <w:next w:val="4"/>
    <w:qFormat/>
    <w:uiPriority w:val="0"/>
    <w:pPr>
      <w:ind w:firstLine="200" w:firstLineChars="200"/>
    </w:pPr>
    <w:rPr>
      <w:color w:val="000000"/>
    </w:rPr>
  </w:style>
  <w:style w:type="paragraph" w:customStyle="1" w:styleId="3">
    <w:name w:val="正文 New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6">
    <w:name w:val="footer"/>
    <w:basedOn w:val="1"/>
    <w:link w:val="9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9">
    <w:name w:val="页脚 字符"/>
    <w:basedOn w:val="8"/>
    <w:link w:val="6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1890</Words>
  <Characters>2077</Characters>
  <Lines>15</Lines>
  <Paragraphs>4</Paragraphs>
  <TotalTime>581</TotalTime>
  <ScaleCrop>false</ScaleCrop>
  <LinksUpToDate>false</LinksUpToDate>
  <CharactersWithSpaces>2125</CharactersWithSpaces>
  <Application>WPS Office_11.8.6.9023_F1E327BC-269C-435d-A152-05C5408002CA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2022-02-10T16:22:00Z</dcterms:created>
  <dc:creator>在路上</dc:creator>
  <cp:lastModifiedBy>Administrator</cp:lastModifiedBy>
  <cp:lastPrinted>2023-02-14T16:50:00Z</cp:lastPrinted>
  <dcterms:modified xsi:type="dcterms:W3CDTF">2024-04-08T03:05:54Z</dcterms:modified>
  <cp:revision>19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2052-11.8.6.9023</vt:lpwstr>
  </property>
  <property fmtid="{D5CDD505-2E9C-101B-9397-08002B2CF9AE}" pid="3" name="ICV">
    <vt:lpwstr>CDB10C5783B0472598A2EBAC9950A06F_13</vt:lpwstr>
  </property>
</Properties>
</file>