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ind w:firstLine="0" w:firstLineChars="0"/>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稻田蚕豆接茬高效栽培技术</w:t>
      </w:r>
    </w:p>
    <w:p>
      <w:pPr>
        <w:snapToGrid w:val="0"/>
        <w:spacing w:line="600" w:lineRule="exact"/>
        <w:ind w:firstLine="0" w:firstLineChars="0"/>
        <w:rPr>
          <w:rFonts w:ascii="Times New Roman" w:hAnsi="Times New Roman" w:eastAsia="华文中宋"/>
          <w:b/>
          <w:w w:val="90"/>
          <w:sz w:val="44"/>
          <w:szCs w:val="44"/>
        </w:rPr>
      </w:pPr>
    </w:p>
    <w:p>
      <w:pPr>
        <w:adjustRightInd w:val="0"/>
        <w:snapToGrid w:val="0"/>
        <w:spacing w:line="600" w:lineRule="exact"/>
        <w:ind w:firstLine="640"/>
        <w:rPr>
          <w:rFonts w:ascii="Times New Roman" w:hAnsi="Times New Roman" w:eastAsia="黑体"/>
          <w:bCs/>
          <w:szCs w:val="32"/>
        </w:rPr>
      </w:pPr>
      <w:r>
        <w:rPr>
          <w:rFonts w:ascii="Times New Roman" w:hAnsi="Times New Roman" w:eastAsia="黑体"/>
          <w:bCs/>
          <w:szCs w:val="32"/>
        </w:rPr>
        <w:t>一、技术概述</w:t>
      </w:r>
    </w:p>
    <w:p>
      <w:pPr>
        <w:snapToGrid w:val="0"/>
        <w:spacing w:line="600" w:lineRule="exact"/>
        <w:ind w:firstLine="640"/>
        <w:rPr>
          <w:rFonts w:ascii="楷体_GB2312" w:hAnsi="楷体_GB2312" w:eastAsia="楷体_GB2312" w:cs="楷体_GB2312"/>
          <w:bCs/>
          <w:szCs w:val="32"/>
        </w:rPr>
      </w:pPr>
      <w:r>
        <w:rPr>
          <w:rFonts w:hint="eastAsia" w:ascii="楷体_GB2312" w:hAnsi="楷体_GB2312" w:eastAsia="楷体_GB2312" w:cs="楷体_GB2312"/>
          <w:bCs/>
          <w:szCs w:val="32"/>
        </w:rPr>
        <w:t>（一）技术基本情况</w:t>
      </w:r>
    </w:p>
    <w:p>
      <w:pPr>
        <w:adjustRightInd w:val="0"/>
        <w:snapToGrid w:val="0"/>
        <w:spacing w:line="600" w:lineRule="exact"/>
        <w:ind w:firstLine="640"/>
        <w:rPr>
          <w:rFonts w:ascii="仿宋_GB2312" w:hAnsi="仿宋_GB2312" w:cs="仿宋_GB2312"/>
          <w:szCs w:val="32"/>
        </w:rPr>
      </w:pPr>
      <w:r>
        <w:rPr>
          <w:rFonts w:hint="eastAsia" w:ascii="仿宋_GB2312" w:hAnsi="仿宋_GB2312" w:cs="仿宋_GB2312"/>
          <w:szCs w:val="32"/>
        </w:rPr>
        <w:t>蚕豆属豆科植物，俗称佛豆、罗汉豆等，是经济价值较高的粮、菜兼用作物，同时也是春季特色的蔬菜产品。近年来，蚕豆种植面积逐年扩大，在贵阳市乃至贵州省将蚕豆作为冬春时令蔬菜进行栽培，特别是水稻等粮食作物秋收后，推广水稻与蚕豆接茬栽培模式，不仅可以提高土壤中有机质的含量，减少化肥的使用量，还能有效提高土地利用率和经济效益，在一定程度上盘活冬季闲置稻田，让冬闲田成为“增收田”。通过花溪区、开阳县、息烽县等地开展多点试验、种植示范，品种表现均良好，总结形成了一项栽培技术。通过该项技术，将有效提高耕地复种指数，实现稻田一季多收，对于改善农田生态环境、维护国家粮食安全、提高粮食产量，增加农民收入具有重要意义。</w:t>
      </w:r>
    </w:p>
    <w:p>
      <w:pPr>
        <w:snapToGrid w:val="0"/>
        <w:spacing w:line="600" w:lineRule="exact"/>
        <w:ind w:firstLine="640"/>
        <w:rPr>
          <w:rFonts w:ascii="楷体_GB2312" w:hAnsi="楷体_GB2312" w:eastAsia="楷体_GB2312" w:cs="楷体_GB2312"/>
          <w:bCs/>
          <w:szCs w:val="32"/>
        </w:rPr>
      </w:pPr>
      <w:r>
        <w:rPr>
          <w:rFonts w:hint="eastAsia" w:ascii="楷体_GB2312" w:hAnsi="楷体_GB2312" w:eastAsia="楷体_GB2312" w:cs="楷体_GB2312"/>
          <w:bCs/>
          <w:szCs w:val="32"/>
        </w:rPr>
        <w:t>（二）技术示范推广情况</w:t>
      </w:r>
    </w:p>
    <w:p>
      <w:pPr>
        <w:adjustRightInd w:val="0"/>
        <w:snapToGrid w:val="0"/>
        <w:spacing w:line="600" w:lineRule="exact"/>
        <w:ind w:firstLine="640"/>
        <w:rPr>
          <w:rFonts w:ascii="仿宋_GB2312" w:hAnsi="仿宋_GB2312" w:cs="仿宋_GB2312"/>
          <w:szCs w:val="32"/>
        </w:rPr>
      </w:pPr>
      <w:r>
        <w:rPr>
          <w:rFonts w:hint="eastAsia" w:ascii="仿宋_GB2312" w:hAnsi="仿宋_GB2312" w:cs="仿宋_GB2312"/>
          <w:szCs w:val="32"/>
        </w:rPr>
        <w:t>贵州省常年种植蚕豆面积在40万亩以上，2023年下半年贵阳贵安已推广稻田蚕豆接茬栽培4万亩以上。目前，该技术正在贵阳贵安推广应用。</w:t>
      </w:r>
    </w:p>
    <w:p>
      <w:pPr>
        <w:snapToGrid w:val="0"/>
        <w:spacing w:line="600" w:lineRule="exact"/>
        <w:ind w:firstLine="640"/>
        <w:rPr>
          <w:rFonts w:ascii="楷体_GB2312" w:hAnsi="楷体_GB2312" w:eastAsia="楷体_GB2312" w:cs="楷体_GB2312"/>
          <w:bCs/>
          <w:szCs w:val="32"/>
        </w:rPr>
      </w:pPr>
      <w:r>
        <w:rPr>
          <w:rFonts w:hint="eastAsia" w:ascii="楷体_GB2312" w:hAnsi="楷体_GB2312" w:eastAsia="楷体_GB2312" w:cs="楷体_GB2312"/>
          <w:bCs/>
          <w:szCs w:val="32"/>
        </w:rPr>
        <w:t>（三）提质增效情况</w:t>
      </w:r>
    </w:p>
    <w:p>
      <w:pPr>
        <w:spacing w:line="600" w:lineRule="exact"/>
        <w:ind w:firstLine="640"/>
        <w:rPr>
          <w:rFonts w:ascii="仿宋_GB2312" w:hAnsi="仿宋_GB2312" w:cs="仿宋_GB2312"/>
          <w:szCs w:val="32"/>
        </w:rPr>
      </w:pPr>
      <w:r>
        <w:rPr>
          <w:rFonts w:hint="eastAsia" w:ascii="仿宋_GB2312" w:hAnsi="仿宋_GB2312" w:cs="仿宋_GB2312"/>
          <w:szCs w:val="32"/>
        </w:rPr>
        <w:t>本技术建立了以选地整厢、品种选择、种子处理、适时播种、合理密植、田间管理、病虫害防治、收获等为主的稻田蚕豆接茬栽培技术体系。在稻谷收获后，接茬种植蚕豆，管理好的区域鲜蚕豆荚亩产达1500公斤左右，按市场收购价3.8元/公斤计算，每亩收益可达5000元；干蚕豆产量达400公斤左右，按市场收购价为8.2元/公斤计算，每亩收益达3280元，经济效益显著。同时，本技术遵循“高产高效、用地养地、协调发展和互为有利”的原则，合理利用土壤肥力、减轻病虫害、改善作物品质，既能稳定粮食生产，又能持续发展经济作物，可大幅增加农民收入，进一步丰富贵阳市“菜篮子”花色品种，经济效益、社会效益和生态效益明显。</w:t>
      </w:r>
    </w:p>
    <w:p>
      <w:pPr>
        <w:snapToGrid w:val="0"/>
        <w:spacing w:line="600" w:lineRule="exact"/>
        <w:ind w:firstLine="640"/>
        <w:rPr>
          <w:rFonts w:ascii="楷体_GB2312" w:hAnsi="楷体_GB2312" w:eastAsia="楷体_GB2312" w:cs="楷体_GB2312"/>
          <w:bCs/>
          <w:szCs w:val="32"/>
        </w:rPr>
      </w:pPr>
      <w:r>
        <w:rPr>
          <w:rFonts w:hint="eastAsia" w:ascii="楷体_GB2312" w:hAnsi="楷体_GB2312" w:eastAsia="楷体_GB2312" w:cs="楷体_GB2312"/>
          <w:bCs/>
          <w:szCs w:val="32"/>
        </w:rPr>
        <w:t>（四）技术获奖情况</w:t>
      </w:r>
    </w:p>
    <w:p>
      <w:pPr>
        <w:adjustRightInd w:val="0"/>
        <w:snapToGrid w:val="0"/>
        <w:spacing w:line="600" w:lineRule="exact"/>
        <w:ind w:firstLine="640"/>
        <w:rPr>
          <w:rFonts w:ascii="仿宋_GB2312" w:hAnsi="仿宋_GB2312" w:cs="仿宋_GB2312"/>
          <w:szCs w:val="32"/>
        </w:rPr>
      </w:pPr>
      <w:r>
        <w:rPr>
          <w:rFonts w:hint="eastAsia" w:ascii="仿宋_GB2312" w:hAnsi="仿宋_GB2312" w:cs="仿宋_GB2312"/>
          <w:szCs w:val="32"/>
        </w:rPr>
        <w:t>未申报科技奖励。</w:t>
      </w:r>
    </w:p>
    <w:p>
      <w:pPr>
        <w:snapToGrid w:val="0"/>
        <w:spacing w:line="600" w:lineRule="exact"/>
        <w:ind w:firstLine="640"/>
        <w:rPr>
          <w:rFonts w:ascii="Times New Roman" w:hAnsi="Times New Roman" w:eastAsia="黑体"/>
          <w:sz w:val="36"/>
          <w:szCs w:val="36"/>
        </w:rPr>
      </w:pPr>
      <w:r>
        <w:rPr>
          <w:rFonts w:ascii="Times New Roman" w:hAnsi="Times New Roman" w:eastAsia="黑体"/>
          <w:szCs w:val="32"/>
        </w:rPr>
        <w:t>二、技术要点（核心技术及其配套技术主要内容）</w:t>
      </w:r>
    </w:p>
    <w:p>
      <w:pPr>
        <w:spacing w:line="600" w:lineRule="exact"/>
        <w:ind w:firstLine="640"/>
        <w:rPr>
          <w:rFonts w:ascii="仿宋_GB2312" w:hAnsi="仿宋_GB2312" w:cs="仿宋_GB2312"/>
          <w:szCs w:val="32"/>
        </w:rPr>
      </w:pPr>
      <w:r>
        <w:rPr>
          <w:rFonts w:hint="eastAsia" w:ascii="楷体_GB2312" w:hAnsi="楷体_GB2312" w:eastAsia="楷体_GB2312" w:cs="楷体_GB2312"/>
          <w:bCs/>
          <w:szCs w:val="32"/>
        </w:rPr>
        <w:t>（一）选地整厢：</w:t>
      </w:r>
      <w:r>
        <w:rPr>
          <w:rFonts w:hint="eastAsia" w:ascii="仿宋_GB2312" w:hAnsi="仿宋_GB2312" w:cs="仿宋_GB2312"/>
          <w:szCs w:val="32"/>
        </w:rPr>
        <w:t>选择阳光充足，排水良好，土层深厚，酸碱度中性或偏碱的田块，播种7天前施腐熟肥1000kg与（15-15-15）复合肥15kg作基肥。深翻耕，南北向做厢，厢宽一般1m，沟宽、深各0.3m，每厢播种2行。</w:t>
      </w:r>
    </w:p>
    <w:p>
      <w:pPr>
        <w:spacing w:line="600" w:lineRule="exact"/>
        <w:ind w:firstLine="640"/>
        <w:rPr>
          <w:rFonts w:ascii="仿宋_GB2312" w:hAnsi="仿宋_GB2312" w:cs="仿宋_GB2312"/>
          <w:szCs w:val="32"/>
        </w:rPr>
      </w:pPr>
      <w:r>
        <w:rPr>
          <w:rFonts w:hint="eastAsia" w:ascii="楷体_GB2312" w:hAnsi="楷体_GB2312" w:eastAsia="楷体_GB2312" w:cs="楷体_GB2312"/>
          <w:bCs/>
          <w:szCs w:val="32"/>
        </w:rPr>
        <w:t>（二）品种选择：</w:t>
      </w:r>
      <w:r>
        <w:rPr>
          <w:rFonts w:hint="eastAsia" w:ascii="仿宋_GB2312" w:hAnsi="仿宋_GB2312" w:cs="仿宋_GB2312"/>
          <w:szCs w:val="32"/>
        </w:rPr>
        <w:t>选择产量高、品质优、抗病力强、商品性高、食味佳、适合本区域自然环境条件和耕作制度的贵农3号、贵农21号等优良品种。</w:t>
      </w:r>
    </w:p>
    <w:p>
      <w:pPr>
        <w:snapToGrid w:val="0"/>
        <w:spacing w:line="600" w:lineRule="exact"/>
        <w:ind w:firstLine="640"/>
        <w:rPr>
          <w:rFonts w:ascii="楷体_GB2312" w:hAnsi="楷体_GB2312" w:eastAsia="楷体_GB2312" w:cs="楷体_GB2312"/>
          <w:bCs/>
          <w:szCs w:val="32"/>
        </w:rPr>
      </w:pPr>
      <w:r>
        <w:rPr>
          <w:rFonts w:hint="eastAsia" w:ascii="楷体_GB2312" w:hAnsi="楷体_GB2312" w:eastAsia="楷体_GB2312" w:cs="楷体_GB2312"/>
          <w:bCs/>
          <w:szCs w:val="32"/>
        </w:rPr>
        <w:t>（三）种子处理</w:t>
      </w:r>
    </w:p>
    <w:p>
      <w:pPr>
        <w:spacing w:line="600" w:lineRule="exact"/>
        <w:ind w:firstLine="643"/>
        <w:rPr>
          <w:rFonts w:ascii="仿宋_GB2312" w:hAnsi="仿宋_GB2312" w:cs="仿宋_GB2312"/>
          <w:szCs w:val="32"/>
        </w:rPr>
      </w:pPr>
      <w:r>
        <w:rPr>
          <w:rFonts w:hint="eastAsia" w:ascii="仿宋_GB2312" w:hAnsi="仿宋_GB2312" w:cs="仿宋_GB2312"/>
          <w:b/>
          <w:bCs/>
          <w:szCs w:val="32"/>
        </w:rPr>
        <w:t>3.1种子质量：</w:t>
      </w:r>
      <w:r>
        <w:rPr>
          <w:rFonts w:hint="eastAsia" w:ascii="仿宋_GB2312" w:hAnsi="仿宋_GB2312" w:cs="仿宋_GB2312"/>
          <w:szCs w:val="32"/>
        </w:rPr>
        <w:t>精选均匀饱满、无病斑、无霉烂、无虫蛀、无损伤的种子，种子质量达到GB 4404.2标准。</w:t>
      </w:r>
    </w:p>
    <w:p>
      <w:pPr>
        <w:spacing w:line="600" w:lineRule="exact"/>
        <w:ind w:firstLine="643"/>
        <w:rPr>
          <w:rFonts w:ascii="仿宋_GB2312" w:hAnsi="仿宋_GB2312" w:cs="仿宋_GB2312"/>
          <w:szCs w:val="32"/>
        </w:rPr>
      </w:pPr>
      <w:r>
        <w:rPr>
          <w:rFonts w:hint="eastAsia" w:ascii="仿宋_GB2312" w:hAnsi="仿宋_GB2312" w:cs="仿宋_GB2312"/>
          <w:b/>
          <w:bCs/>
          <w:szCs w:val="32"/>
        </w:rPr>
        <w:t>3.2催芽处理：</w:t>
      </w:r>
      <w:r>
        <w:rPr>
          <w:rFonts w:hint="eastAsia" w:ascii="仿宋_GB2312" w:hAnsi="仿宋_GB2312" w:cs="仿宋_GB2312"/>
          <w:szCs w:val="32"/>
        </w:rPr>
        <w:t>蚕豆种种皮厚而坚硬，一般用水浸种为36小时为宜，每4-6小时淘洗、换水一次。待蚕豆饱胀，无瘪、无皱纹、切开断面无白心、平嘴处皮壳未开裂时，结束浸种。</w:t>
      </w:r>
    </w:p>
    <w:p>
      <w:pPr>
        <w:spacing w:line="600" w:lineRule="exact"/>
        <w:ind w:firstLine="640"/>
        <w:rPr>
          <w:rFonts w:ascii="仿宋_GB2312" w:hAnsi="仿宋_GB2312" w:cs="仿宋_GB2312"/>
          <w:szCs w:val="32"/>
        </w:rPr>
      </w:pPr>
      <w:r>
        <w:rPr>
          <w:rFonts w:hint="eastAsia" w:ascii="楷体_GB2312" w:hAnsi="楷体_GB2312" w:eastAsia="楷体_GB2312" w:cs="楷体_GB2312"/>
          <w:bCs/>
          <w:szCs w:val="32"/>
        </w:rPr>
        <w:t>（四）适时播种：</w:t>
      </w:r>
      <w:r>
        <w:rPr>
          <w:rFonts w:hint="eastAsia" w:ascii="仿宋_GB2312" w:hAnsi="仿宋_GB2312" w:cs="仿宋_GB2312"/>
          <w:szCs w:val="32"/>
        </w:rPr>
        <w:t>免耕播种可根据前茬作物水稻株行距进行播种，适合于9月底和10月中旬播种，也可根据海拔高低或前或后播种。</w:t>
      </w:r>
    </w:p>
    <w:p>
      <w:pPr>
        <w:spacing w:line="600" w:lineRule="exact"/>
        <w:ind w:firstLine="640"/>
        <w:rPr>
          <w:rFonts w:ascii="仿宋_GB2312" w:hAnsi="仿宋_GB2312" w:cs="仿宋_GB2312"/>
          <w:szCs w:val="32"/>
        </w:rPr>
      </w:pPr>
      <w:r>
        <w:rPr>
          <w:rFonts w:hint="eastAsia" w:ascii="楷体_GB2312" w:hAnsi="楷体_GB2312" w:eastAsia="楷体_GB2312" w:cs="楷体_GB2312"/>
          <w:bCs/>
          <w:szCs w:val="32"/>
        </w:rPr>
        <w:t>（五）合理密植：</w:t>
      </w:r>
      <w:r>
        <w:rPr>
          <w:rFonts w:hint="eastAsia" w:ascii="仿宋_GB2312" w:hAnsi="仿宋_GB2312" w:cs="仿宋_GB2312"/>
          <w:szCs w:val="32"/>
        </w:rPr>
        <w:t>稻田翻犁后采用净作方式，株距20cm，行距30cm，亩用种量10kg左右。稻田免耕栽培可根据水稻株行距种植，每穴播种2粒种子。</w:t>
      </w:r>
    </w:p>
    <w:p>
      <w:pPr>
        <w:snapToGrid w:val="0"/>
        <w:spacing w:line="600" w:lineRule="exact"/>
        <w:ind w:firstLine="640"/>
        <w:rPr>
          <w:rFonts w:ascii="楷体_GB2312" w:hAnsi="楷体_GB2312" w:eastAsia="楷体_GB2312" w:cs="楷体_GB2312"/>
          <w:bCs/>
          <w:szCs w:val="32"/>
        </w:rPr>
      </w:pPr>
      <w:r>
        <w:rPr>
          <w:rFonts w:hint="eastAsia" w:ascii="楷体_GB2312" w:hAnsi="楷体_GB2312" w:eastAsia="楷体_GB2312" w:cs="楷体_GB2312"/>
          <w:bCs/>
          <w:szCs w:val="32"/>
        </w:rPr>
        <w:t>（六）田间管理</w:t>
      </w:r>
    </w:p>
    <w:p>
      <w:pPr>
        <w:spacing w:line="600" w:lineRule="exact"/>
        <w:ind w:firstLine="643"/>
        <w:rPr>
          <w:rFonts w:ascii="仿宋_GB2312" w:hAnsi="仿宋_GB2312" w:cs="仿宋_GB2312"/>
          <w:szCs w:val="32"/>
        </w:rPr>
      </w:pPr>
      <w:r>
        <w:rPr>
          <w:rFonts w:hint="eastAsia" w:ascii="仿宋_GB2312" w:hAnsi="仿宋_GB2312" w:cs="仿宋_GB2312"/>
          <w:b/>
          <w:bCs/>
          <w:szCs w:val="32"/>
        </w:rPr>
        <w:t>6.1科学用水：</w:t>
      </w:r>
      <w:r>
        <w:rPr>
          <w:rFonts w:hint="eastAsia" w:ascii="仿宋_GB2312" w:hAnsi="仿宋_GB2312" w:cs="仿宋_GB2312"/>
          <w:szCs w:val="32"/>
        </w:rPr>
        <w:t>生长前期保持土壤湿润，以利种子发芽出土，扎根齐苗；生长中期土壤宜干爽，以利根系深生，多生侧根，茎叶粗壮；生长后期应注意防渍。</w:t>
      </w:r>
    </w:p>
    <w:p>
      <w:pPr>
        <w:spacing w:line="600" w:lineRule="exact"/>
        <w:ind w:firstLine="643"/>
        <w:rPr>
          <w:rFonts w:ascii="仿宋_GB2312" w:hAnsi="仿宋_GB2312" w:cs="仿宋_GB2312"/>
          <w:szCs w:val="32"/>
        </w:rPr>
      </w:pPr>
      <w:r>
        <w:rPr>
          <w:rFonts w:hint="eastAsia" w:ascii="仿宋_GB2312" w:hAnsi="仿宋_GB2312" w:cs="仿宋_GB2312"/>
          <w:b/>
          <w:bCs/>
          <w:szCs w:val="32"/>
        </w:rPr>
        <w:t>6.2合理施肥：</w:t>
      </w:r>
      <w:r>
        <w:rPr>
          <w:rFonts w:hint="eastAsia" w:ascii="仿宋_GB2312" w:hAnsi="仿宋_GB2312" w:cs="仿宋_GB2312"/>
          <w:szCs w:val="32"/>
        </w:rPr>
        <w:t>施肥以农家肥、磷钾肥为主。结合中耕除草培土，注重磷钾，巧施氮肥。磷肥能促进根瘤菌的活力，形成更多的根瘤，增强固氮作用。钾肥能使茎秆健壮，增强抗病、抗倒能力。每亩施用复合肥7.5kg，追肥2次。</w:t>
      </w:r>
    </w:p>
    <w:p>
      <w:pPr>
        <w:spacing w:line="600" w:lineRule="exact"/>
        <w:ind w:firstLine="643"/>
        <w:rPr>
          <w:rFonts w:ascii="仿宋_GB2312" w:hAnsi="仿宋_GB2312" w:cs="仿宋_GB2312"/>
          <w:szCs w:val="32"/>
        </w:rPr>
      </w:pPr>
      <w:r>
        <w:rPr>
          <w:rFonts w:hint="eastAsia" w:ascii="仿宋_GB2312" w:hAnsi="仿宋_GB2312" w:cs="仿宋_GB2312"/>
          <w:b/>
          <w:bCs/>
          <w:szCs w:val="32"/>
        </w:rPr>
        <w:t>6.3整枝摘心：</w:t>
      </w:r>
      <w:r>
        <w:rPr>
          <w:rFonts w:hint="eastAsia" w:ascii="仿宋_GB2312" w:hAnsi="仿宋_GB2312" w:cs="仿宋_GB2312"/>
          <w:szCs w:val="32"/>
        </w:rPr>
        <w:t>适时将主茎除去，当蚕豆生长离地面15厘米左右时，用剪刀距主茎顶端约5厘米处剪下。次年立春后，及时抹去生长的无效分枝和嫩枝。蚕豆分枝多形成无效花，分枝具有2～4个有效花时，及时摘掉顶心。</w:t>
      </w:r>
    </w:p>
    <w:p>
      <w:pPr>
        <w:snapToGrid w:val="0"/>
        <w:spacing w:line="600" w:lineRule="exact"/>
        <w:ind w:firstLine="640"/>
        <w:rPr>
          <w:rFonts w:ascii="楷体_GB2312" w:hAnsi="楷体_GB2312" w:eastAsia="楷体_GB2312" w:cs="楷体_GB2312"/>
          <w:bCs/>
          <w:szCs w:val="32"/>
        </w:rPr>
      </w:pPr>
      <w:r>
        <w:rPr>
          <w:rFonts w:hint="eastAsia" w:ascii="楷体_GB2312" w:hAnsi="楷体_GB2312" w:eastAsia="楷体_GB2312" w:cs="楷体_GB2312"/>
          <w:bCs/>
          <w:szCs w:val="32"/>
        </w:rPr>
        <w:t>（七）病虫害防治</w:t>
      </w:r>
    </w:p>
    <w:p>
      <w:pPr>
        <w:spacing w:line="600" w:lineRule="exact"/>
        <w:ind w:firstLine="640"/>
        <w:rPr>
          <w:rFonts w:ascii="仿宋_GB2312" w:hAnsi="仿宋_GB2312" w:cs="仿宋_GB2312"/>
          <w:bCs/>
          <w:szCs w:val="32"/>
        </w:rPr>
      </w:pPr>
      <w:r>
        <w:rPr>
          <w:rFonts w:hint="eastAsia" w:ascii="仿宋_GB2312" w:hAnsi="仿宋_GB2312" w:cs="仿宋_GB2312"/>
          <w:bCs/>
          <w:szCs w:val="32"/>
        </w:rPr>
        <w:t>及时防控蚕豆褐斑病、锈病、根腐病、蚜虫等病虫害的发生，主要采取“预防为主，化学、物理防治为辅”的综合防治措施。</w:t>
      </w:r>
    </w:p>
    <w:p>
      <w:pPr>
        <w:spacing w:line="600" w:lineRule="exact"/>
        <w:ind w:firstLine="643"/>
        <w:rPr>
          <w:rFonts w:ascii="仿宋_GB2312" w:hAnsi="仿宋_GB2312" w:cs="仿宋_GB2312"/>
          <w:szCs w:val="32"/>
        </w:rPr>
      </w:pPr>
      <w:r>
        <w:rPr>
          <w:rFonts w:hint="eastAsia" w:ascii="仿宋_GB2312" w:hAnsi="仿宋_GB2312" w:cs="仿宋_GB2312"/>
          <w:b/>
          <w:bCs/>
          <w:szCs w:val="32"/>
        </w:rPr>
        <w:t>7.1赤斑病：</w:t>
      </w:r>
      <w:r>
        <w:rPr>
          <w:rFonts w:hint="eastAsia" w:ascii="仿宋_GB2312" w:hAnsi="仿宋_GB2312" w:cs="仿宋_GB2312"/>
          <w:szCs w:val="32"/>
        </w:rPr>
        <w:t>叶片上生出赤色小点，渐扩大成圆形或椭圆形病斑，严重时各部位均变成黑色、枯腐。茎杆内壁有黑色菌核。在发病初期，喷施1:2:100的波尔多液进行防治。</w:t>
      </w:r>
    </w:p>
    <w:p>
      <w:pPr>
        <w:spacing w:line="600" w:lineRule="exact"/>
        <w:ind w:firstLine="643"/>
        <w:rPr>
          <w:rFonts w:ascii="仿宋_GB2312" w:hAnsi="仿宋_GB2312" w:cs="仿宋_GB2312"/>
          <w:szCs w:val="32"/>
        </w:rPr>
      </w:pPr>
      <w:r>
        <w:rPr>
          <w:rFonts w:hint="eastAsia" w:ascii="仿宋_GB2312" w:hAnsi="仿宋_GB2312" w:cs="仿宋_GB2312"/>
          <w:b/>
          <w:bCs/>
          <w:szCs w:val="32"/>
        </w:rPr>
        <w:t>7.2锈病：</w:t>
      </w:r>
      <w:r>
        <w:rPr>
          <w:rFonts w:hint="eastAsia" w:ascii="仿宋_GB2312" w:hAnsi="仿宋_GB2312" w:cs="仿宋_GB2312"/>
          <w:szCs w:val="32"/>
        </w:rPr>
        <w:t>叶片上出现锈斑，直至叶片干枯，严重时植株全部枯死。预防：采用 0.2%补骨脂种子提取物微乳剂1500 倍喷雾；治疗：发病初期，选用</w:t>
      </w:r>
      <w:bookmarkStart w:id="0" w:name="_GoBack"/>
      <w:bookmarkEnd w:id="0"/>
      <w:r>
        <w:rPr>
          <w:rFonts w:hint="eastAsia" w:ascii="仿宋_GB2312" w:hAnsi="仿宋_GB2312" w:cs="仿宋_GB2312"/>
          <w:szCs w:val="32"/>
        </w:rPr>
        <w:t>75%肟菌•戊唑醇水分散粒剂5000倍、或430克/升戊唑醇悬浮 4000倍</w:t>
      </w:r>
      <w:r>
        <w:rPr>
          <w:rFonts w:hint="eastAsia" w:ascii="仿宋_GB2312" w:hAnsi="仿宋_GB2312" w:cs="仿宋_GB2312"/>
          <w:szCs w:val="32"/>
          <w:lang w:val="en-US" w:eastAsia="zh-CN"/>
        </w:rPr>
        <w:t>喷雾防治</w:t>
      </w:r>
      <w:r>
        <w:rPr>
          <w:rFonts w:hint="eastAsia" w:ascii="仿宋_GB2312" w:hAnsi="仿宋_GB2312" w:cs="仿宋_GB2312"/>
          <w:szCs w:val="32"/>
          <w:lang w:eastAsia="zh-CN"/>
        </w:rPr>
        <w:t>，</w:t>
      </w:r>
      <w:r>
        <w:rPr>
          <w:rFonts w:hint="eastAsia" w:ascii="仿宋_GB2312" w:hAnsi="仿宋_GB2312" w:cs="仿宋_GB2312"/>
          <w:szCs w:val="32"/>
          <w:lang w:val="en-US" w:eastAsia="zh-CN"/>
        </w:rPr>
        <w:t>农药交换使用</w:t>
      </w:r>
      <w:r>
        <w:rPr>
          <w:rFonts w:hint="eastAsia" w:ascii="仿宋_GB2312" w:hAnsi="仿宋_GB2312" w:cs="仿宋_GB2312"/>
          <w:szCs w:val="32"/>
        </w:rPr>
        <w:t>。</w:t>
      </w:r>
    </w:p>
    <w:p>
      <w:pPr>
        <w:spacing w:line="600" w:lineRule="exact"/>
        <w:ind w:firstLine="643"/>
        <w:rPr>
          <w:rFonts w:ascii="仿宋_GB2312" w:hAnsi="仿宋_GB2312" w:cs="仿宋_GB2312"/>
          <w:szCs w:val="32"/>
        </w:rPr>
      </w:pPr>
      <w:r>
        <w:rPr>
          <w:rFonts w:hint="eastAsia" w:ascii="仿宋_GB2312" w:hAnsi="仿宋_GB2312" w:cs="仿宋_GB2312"/>
          <w:b/>
          <w:bCs/>
          <w:szCs w:val="32"/>
        </w:rPr>
        <w:t>7.3根腐病：</w:t>
      </w:r>
      <w:r>
        <w:rPr>
          <w:rFonts w:hint="eastAsia" w:ascii="仿宋_GB2312" w:hAnsi="仿宋_GB2312" w:cs="仿宋_GB2312"/>
          <w:szCs w:val="32"/>
        </w:rPr>
        <w:t>发病后，最明显的特征是植株下部叶片的叶缘变黑，严重时整叶变黑焦枯，可使蚕豆减产30%～50%。发病初期，选30%甲霜•噁霉灵水剂1500倍进行防治。</w:t>
      </w:r>
    </w:p>
    <w:p>
      <w:pPr>
        <w:spacing w:line="600" w:lineRule="exact"/>
        <w:ind w:firstLine="643"/>
        <w:rPr>
          <w:rFonts w:hint="eastAsia" w:ascii="仿宋_GB2312" w:hAnsi="仿宋_GB2312" w:cs="仿宋_GB2312"/>
          <w:szCs w:val="32"/>
        </w:rPr>
      </w:pPr>
      <w:r>
        <w:rPr>
          <w:rFonts w:hint="eastAsia" w:ascii="仿宋_GB2312" w:hAnsi="仿宋_GB2312" w:cs="仿宋_GB2312"/>
          <w:b/>
          <w:bCs/>
          <w:szCs w:val="32"/>
        </w:rPr>
        <w:t>7.4蚜虫：</w:t>
      </w:r>
      <w:r>
        <w:rPr>
          <w:rFonts w:hint="eastAsia" w:ascii="仿宋_GB2312" w:hAnsi="仿宋_GB2312" w:cs="仿宋_GB2312"/>
          <w:szCs w:val="32"/>
        </w:rPr>
        <w:t>秋季蚕豆易发蚜虫，从而诱发病毒病，可用10%吡虫啉可湿性粉剂4000～6000倍液喷雾防治；移栽后用辛硫磷灌根杀灭地下害虫。</w:t>
      </w:r>
    </w:p>
    <w:p>
      <w:pPr>
        <w:spacing w:line="600" w:lineRule="exact"/>
        <w:ind w:firstLine="643"/>
        <w:rPr>
          <w:rFonts w:ascii="仿宋_GB2312" w:hAnsi="仿宋_GB2312" w:cs="仿宋_GB2312"/>
          <w:szCs w:val="32"/>
        </w:rPr>
      </w:pPr>
      <w:r>
        <w:rPr>
          <w:rFonts w:hint="eastAsia" w:ascii="仿宋_GB2312" w:hAnsi="仿宋_GB2312" w:cs="仿宋_GB2312"/>
          <w:szCs w:val="32"/>
        </w:rPr>
        <w:t>苗期和分枝期，一般有丝核菌危害幼茎，镰刀菌危害幼根，最后易发生青枯病死苗，可用低毒的多种杀菌剂循环灌根，如代森锰锌、多菌灵等。</w:t>
      </w:r>
    </w:p>
    <w:p>
      <w:pPr>
        <w:snapToGrid w:val="0"/>
        <w:spacing w:line="600" w:lineRule="exact"/>
        <w:ind w:firstLine="640"/>
        <w:rPr>
          <w:rFonts w:ascii="楷体_GB2312" w:hAnsi="楷体_GB2312" w:eastAsia="楷体_GB2312" w:cs="楷体_GB2312"/>
          <w:bCs/>
          <w:szCs w:val="32"/>
        </w:rPr>
      </w:pPr>
      <w:r>
        <w:rPr>
          <w:rFonts w:hint="eastAsia" w:ascii="楷体_GB2312" w:hAnsi="楷体_GB2312" w:eastAsia="楷体_GB2312" w:cs="楷体_GB2312"/>
          <w:bCs/>
          <w:szCs w:val="32"/>
        </w:rPr>
        <w:t>（八）采收</w:t>
      </w:r>
    </w:p>
    <w:p>
      <w:pPr>
        <w:spacing w:line="600" w:lineRule="exact"/>
        <w:ind w:firstLine="640"/>
        <w:rPr>
          <w:rFonts w:ascii="仿宋_GB2312" w:hAnsi="仿宋_GB2312" w:cs="仿宋_GB2312"/>
          <w:bCs/>
          <w:szCs w:val="32"/>
        </w:rPr>
      </w:pPr>
      <w:r>
        <w:rPr>
          <w:rFonts w:hint="eastAsia" w:ascii="仿宋_GB2312" w:hAnsi="仿宋_GB2312" w:cs="仿宋_GB2312"/>
          <w:bCs/>
          <w:szCs w:val="32"/>
        </w:rPr>
        <w:t>当豆粒足够大、蚕豆脐眼转黑前采摘。及时剪掉采摘完的分枝，减少养分消耗。整个采摘季结束后，及时接茬种植水稻。</w:t>
      </w:r>
    </w:p>
    <w:p>
      <w:pPr>
        <w:adjustRightInd w:val="0"/>
        <w:snapToGrid w:val="0"/>
        <w:spacing w:line="600" w:lineRule="exact"/>
        <w:ind w:firstLine="640"/>
        <w:rPr>
          <w:rFonts w:ascii="黑体" w:hAnsi="黑体" w:eastAsia="黑体" w:cs="黑体"/>
          <w:szCs w:val="32"/>
        </w:rPr>
      </w:pPr>
      <w:r>
        <w:rPr>
          <w:rFonts w:hint="eastAsia" w:ascii="黑体" w:hAnsi="黑体" w:eastAsia="黑体" w:cs="黑体"/>
          <w:szCs w:val="32"/>
        </w:rPr>
        <w:t>三、适宜区域</w:t>
      </w:r>
    </w:p>
    <w:p>
      <w:pPr>
        <w:spacing w:line="600" w:lineRule="exact"/>
        <w:ind w:firstLine="640"/>
        <w:rPr>
          <w:rFonts w:ascii="仿宋_GB2312" w:hAnsi="仿宋_GB2312" w:cs="仿宋_GB2312"/>
          <w:szCs w:val="32"/>
        </w:rPr>
      </w:pPr>
      <w:r>
        <w:rPr>
          <w:rFonts w:hint="eastAsia" w:ascii="仿宋_GB2312" w:hAnsi="仿宋_GB2312" w:cs="仿宋_GB2312"/>
          <w:szCs w:val="32"/>
        </w:rPr>
        <w:t>贵阳贵安蚕豆种植区海拔范围为600 m～1500 m。</w:t>
      </w:r>
    </w:p>
    <w:p>
      <w:pPr>
        <w:adjustRightInd w:val="0"/>
        <w:snapToGrid w:val="0"/>
        <w:spacing w:line="600" w:lineRule="exact"/>
        <w:ind w:firstLine="640"/>
        <w:rPr>
          <w:rFonts w:ascii="Times New Roman" w:hAnsi="Times New Roman" w:eastAsia="黑体"/>
          <w:szCs w:val="32"/>
        </w:rPr>
      </w:pPr>
      <w:r>
        <w:rPr>
          <w:rFonts w:ascii="Times New Roman" w:hAnsi="Times New Roman" w:eastAsia="黑体"/>
          <w:szCs w:val="32"/>
        </w:rPr>
        <w:t>四、注意事项</w:t>
      </w:r>
    </w:p>
    <w:p>
      <w:pPr>
        <w:spacing w:line="600" w:lineRule="exact"/>
        <w:ind w:firstLine="640"/>
        <w:rPr>
          <w:rFonts w:ascii="仿宋_GB2312" w:hAnsi="仿宋_GB2312" w:cs="仿宋_GB2312"/>
          <w:szCs w:val="32"/>
        </w:rPr>
      </w:pPr>
      <w:r>
        <w:rPr>
          <w:rFonts w:hint="eastAsia" w:ascii="仿宋_GB2312" w:hAnsi="仿宋_GB2312" w:cs="仿宋_GB2312"/>
          <w:szCs w:val="32"/>
        </w:rPr>
        <w:t>注意蚕豆和水稻品种的选择，排灌设施完备。</w:t>
      </w:r>
    </w:p>
    <w:p>
      <w:pPr>
        <w:snapToGrid w:val="0"/>
        <w:spacing w:line="600" w:lineRule="exact"/>
        <w:ind w:firstLine="640"/>
        <w:rPr>
          <w:rFonts w:ascii="黑体" w:hAnsi="黑体" w:eastAsia="黑体" w:cs="黑体"/>
          <w:szCs w:val="32"/>
        </w:rPr>
      </w:pPr>
      <w:r>
        <w:rPr>
          <w:rFonts w:hint="eastAsia" w:ascii="黑体" w:hAnsi="黑体" w:eastAsia="黑体" w:cs="黑体"/>
          <w:szCs w:val="32"/>
        </w:rPr>
        <w:t>五、技术依托单位</w:t>
      </w:r>
    </w:p>
    <w:p>
      <w:pPr>
        <w:adjustRightInd w:val="0"/>
        <w:snapToGrid w:val="0"/>
        <w:spacing w:line="600" w:lineRule="exact"/>
        <w:ind w:firstLine="640"/>
        <w:rPr>
          <w:rFonts w:ascii="仿宋_GB2312" w:hAnsi="仿宋_GB2312" w:cs="仿宋_GB2312"/>
          <w:szCs w:val="32"/>
        </w:rPr>
      </w:pPr>
      <w:r>
        <w:rPr>
          <w:rFonts w:hint="eastAsia" w:ascii="仿宋_GB2312" w:hAnsi="仿宋_GB2312" w:cs="仿宋_GB2312"/>
          <w:szCs w:val="32"/>
        </w:rPr>
        <w:t>贵阳市蔬菜技术推广站</w:t>
      </w:r>
    </w:p>
    <w:p>
      <w:pPr>
        <w:adjustRightInd w:val="0"/>
        <w:snapToGrid w:val="0"/>
        <w:spacing w:line="600" w:lineRule="exact"/>
        <w:ind w:firstLine="640"/>
        <w:rPr>
          <w:rFonts w:ascii="仿宋_GB2312" w:hAnsi="仿宋_GB2312" w:cs="仿宋_GB2312"/>
          <w:szCs w:val="32"/>
        </w:rPr>
      </w:pPr>
      <w:r>
        <w:rPr>
          <w:rFonts w:hint="eastAsia" w:ascii="仿宋_GB2312" w:hAnsi="仿宋_GB2312" w:cs="仿宋_GB2312"/>
          <w:szCs w:val="32"/>
        </w:rPr>
        <w:t>贵州力合农业科技有限公司</w:t>
      </w:r>
    </w:p>
    <w:p>
      <w:pPr>
        <w:adjustRightInd w:val="0"/>
        <w:snapToGrid w:val="0"/>
        <w:spacing w:line="600" w:lineRule="exact"/>
        <w:ind w:firstLine="640"/>
        <w:rPr>
          <w:rFonts w:ascii="仿宋_GB2312" w:hAnsi="仿宋_GB2312" w:cs="仿宋_GB2312"/>
          <w:szCs w:val="32"/>
        </w:rPr>
      </w:pPr>
      <w:r>
        <w:rPr>
          <w:rFonts w:hint="eastAsia" w:ascii="仿宋_GB2312" w:hAnsi="仿宋_GB2312" w:cs="仿宋_GB2312"/>
          <w:szCs w:val="32"/>
        </w:rPr>
        <w:t>联系地址：贵阳市观山湖区市级行政中心二期C区</w:t>
      </w:r>
    </w:p>
    <w:p>
      <w:pPr>
        <w:adjustRightInd w:val="0"/>
        <w:snapToGrid w:val="0"/>
        <w:spacing w:line="600" w:lineRule="exact"/>
        <w:ind w:firstLine="640"/>
        <w:rPr>
          <w:rFonts w:ascii="仿宋_GB2312" w:hAnsi="仿宋_GB2312" w:cs="仿宋_GB2312"/>
          <w:szCs w:val="32"/>
        </w:rPr>
      </w:pPr>
      <w:r>
        <w:rPr>
          <w:rFonts w:hint="eastAsia" w:ascii="仿宋_GB2312" w:hAnsi="仿宋_GB2312" w:cs="仿宋_GB2312"/>
          <w:szCs w:val="32"/>
        </w:rPr>
        <w:t>邮政编码：550081</w:t>
      </w:r>
    </w:p>
    <w:p>
      <w:pPr>
        <w:adjustRightInd w:val="0"/>
        <w:snapToGrid w:val="0"/>
        <w:spacing w:line="600" w:lineRule="exact"/>
        <w:ind w:firstLine="640"/>
        <w:rPr>
          <w:rFonts w:ascii="仿宋_GB2312" w:hAnsi="仿宋_GB2312" w:cs="仿宋_GB2312"/>
          <w:szCs w:val="32"/>
        </w:rPr>
      </w:pPr>
      <w:r>
        <w:rPr>
          <w:rFonts w:hint="eastAsia" w:ascii="仿宋_GB2312" w:hAnsi="仿宋_GB2312" w:cs="仿宋_GB2312"/>
          <w:szCs w:val="32"/>
        </w:rPr>
        <w:t>联系人：陈永波</w:t>
      </w:r>
    </w:p>
    <w:p>
      <w:pPr>
        <w:adjustRightInd w:val="0"/>
        <w:snapToGrid w:val="0"/>
        <w:spacing w:line="600" w:lineRule="exact"/>
        <w:ind w:firstLine="640"/>
        <w:rPr>
          <w:rFonts w:ascii="仿宋_GB2312" w:hAnsi="仿宋_GB2312" w:cs="仿宋_GB2312"/>
          <w:szCs w:val="32"/>
        </w:rPr>
      </w:pPr>
      <w:r>
        <w:rPr>
          <w:rFonts w:hint="eastAsia" w:ascii="仿宋_GB2312" w:hAnsi="仿宋_GB2312" w:cs="仿宋_GB2312"/>
          <w:szCs w:val="32"/>
        </w:rPr>
        <w:t xml:space="preserve">电子邮箱：12587720@qq.com </w:t>
      </w:r>
    </w:p>
    <w:p>
      <w:pPr>
        <w:pStyle w:val="10"/>
        <w:spacing w:line="600" w:lineRule="exact"/>
        <w:ind w:firstLine="360"/>
        <w:rPr>
          <w:rFonts w:ascii="仿宋_GB2312" w:hAnsi="仿宋_GB2312" w:cs="仿宋_GB2312"/>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304" w:bottom="1440" w:left="1531"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文泉驿微米黑">
    <w:altName w:val="黑体"/>
    <w:panose1 w:val="00000000000000000000"/>
    <w:charset w:val="86"/>
    <w:family w:val="auto"/>
    <w:pitch w:val="default"/>
    <w:sig w:usb0="00000000" w:usb1="00000000" w:usb2="00800036" w:usb3="00000000" w:csb0="603E019F" w:csb1="DFD70000"/>
  </w:font>
  <w:font w:name="楷体_GB2312">
    <w:panose1 w:val="02010609030101010101"/>
    <w:charset w:val="86"/>
    <w:family w:val="modern"/>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Courier">
    <w:altName w:val="Courier New"/>
    <w:panose1 w:val="02070409020205020404"/>
    <w:charset w:val="00"/>
    <w:family w:val="modern"/>
    <w:pitch w:val="default"/>
    <w:sig w:usb0="00000000" w:usb1="00000000" w:usb2="00000000" w:usb3="00000000" w:csb0="00000001"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Courier New">
    <w:panose1 w:val="020703090202050204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pPr>
                  <w:pStyle w:val="9"/>
                  <w:ind w:firstLine="560"/>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- 2 -</w:t>
                </w:r>
                <w:r>
                  <w:rPr>
                    <w:rFonts w:hint="eastAsia" w:ascii="宋体" w:hAnsi="宋体" w:eastAsia="宋体" w:cs="宋体"/>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rPr>
        <w:rFonts w:hint="eastAsia" w:ascii="黑体" w:hAnsi="Times New Roman" w:eastAsia="黑体"/>
        <w:b w:val="0"/>
        <w:bCs w:val="0"/>
        <w:i w:val="0"/>
        <w:iCs w:val="0"/>
        <w:sz w:val="21"/>
        <w:szCs w:val="21"/>
      </w:rPr>
    </w:lvl>
    <w:lvl w:ilvl="1" w:tentative="0">
      <w:start w:val="1"/>
      <w:numFmt w:val="decimal"/>
      <w:pStyle w:val="24"/>
      <w:suff w:val="nothing"/>
      <w:lvlText w:val="%1.%2　"/>
      <w:lvlJc w:val="left"/>
      <w:pPr>
        <w:ind w:left="771"/>
      </w:pPr>
      <w:rPr>
        <w:rFonts w:hint="eastAsia" w:ascii="黑体" w:hAnsi="Times New Roman" w:eastAsia="黑体"/>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
      <w:suff w:val="nothing"/>
      <w:lvlText w:val="%1.%2.%3　"/>
      <w:lvlJc w:val="left"/>
      <w:rPr>
        <w:rFonts w:hint="eastAsia" w:ascii="黑体" w:hAnsi="Times New Roman" w:eastAsia="黑体"/>
        <w:b w:val="0"/>
        <w:bCs w:val="0"/>
        <w:i w:val="0"/>
        <w:iCs w:val="0"/>
        <w:sz w:val="21"/>
        <w:szCs w:val="21"/>
      </w:rPr>
    </w:lvl>
    <w:lvl w:ilvl="3" w:tentative="0">
      <w:start w:val="1"/>
      <w:numFmt w:val="decimal"/>
      <w:suff w:val="nothing"/>
      <w:lvlText w:val="%1.%2.%3.%4　"/>
      <w:lvlJc w:val="left"/>
      <w:rPr>
        <w:rFonts w:hint="eastAsia" w:ascii="黑体" w:hAnsi="Times New Roman" w:eastAsia="黑体"/>
        <w:b w:val="0"/>
        <w:bCs w:val="0"/>
        <w:i w:val="0"/>
        <w:iCs w:val="0"/>
        <w:sz w:val="21"/>
        <w:szCs w:val="21"/>
      </w:rPr>
    </w:lvl>
    <w:lvl w:ilvl="4" w:tentative="0">
      <w:start w:val="1"/>
      <w:numFmt w:val="decimal"/>
      <w:suff w:val="nothing"/>
      <w:lvlText w:val="%1.%2.%3.%4.%5　"/>
      <w:lvlJc w:val="left"/>
      <w:rPr>
        <w:rFonts w:hint="eastAsia" w:ascii="黑体" w:hAnsi="Times New Roman" w:eastAsia="黑体"/>
        <w:b w:val="0"/>
        <w:bCs w:val="0"/>
        <w:i w:val="0"/>
        <w:iCs w:val="0"/>
        <w:sz w:val="21"/>
        <w:szCs w:val="21"/>
      </w:rPr>
    </w:lvl>
    <w:lvl w:ilvl="5" w:tentative="0">
      <w:start w:val="1"/>
      <w:numFmt w:val="decimal"/>
      <w:suff w:val="nothing"/>
      <w:lvlText w:val="%1.%2.%3.%4.%5.%6　"/>
      <w:lvlJc w:val="left"/>
      <w:rPr>
        <w:rFonts w:hint="eastAsia" w:ascii="黑体" w:hAnsi="Times New Roman" w:eastAsia="黑体"/>
        <w:b w:val="0"/>
        <w:bCs w:val="0"/>
        <w:i w:val="0"/>
        <w:iCs w:val="0"/>
        <w:sz w:val="21"/>
        <w:szCs w:val="21"/>
      </w:rPr>
    </w:lvl>
    <w:lvl w:ilvl="6" w:tentative="0">
      <w:start w:val="1"/>
      <w:numFmt w:val="decimal"/>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492"/>
        </w:tabs>
        <w:ind w:left="4110" w:hanging="1418"/>
      </w:pPr>
      <w:rPr>
        <w:rFonts w:hint="eastAsia"/>
      </w:rPr>
    </w:lvl>
    <w:lvl w:ilvl="8" w:tentative="0">
      <w:start w:val="1"/>
      <w:numFmt w:val="decimal"/>
      <w:lvlText w:val="%1.%2.%3.%4.%5.%6.%7.%8.%9"/>
      <w:lvlJc w:val="left"/>
      <w:pPr>
        <w:tabs>
          <w:tab w:val="left" w:pos="4918"/>
        </w:tabs>
        <w:ind w:left="4818" w:hanging="1700"/>
      </w:pPr>
      <w:rPr>
        <w:rFonts w:hint="eastAsia"/>
      </w:rPr>
    </w:lvl>
  </w:abstractNum>
  <w:abstractNum w:abstractNumId="1">
    <w:nsid w:val="52430D9E"/>
    <w:multiLevelType w:val="multilevel"/>
    <w:tmpl w:val="52430D9E"/>
    <w:lvl w:ilvl="0" w:tentative="0">
      <w:start w:val="1"/>
      <w:numFmt w:val="decimal"/>
      <w:pStyle w:val="25"/>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M2OWQzMTM1MjYzNGFjMzhhMzE4MGY5MzhmZWVkZmQifQ=="/>
  </w:docVars>
  <w:rsids>
    <w:rsidRoot w:val="45F26D56"/>
    <w:rsid w:val="0005155D"/>
    <w:rsid w:val="00076C9F"/>
    <w:rsid w:val="0014650A"/>
    <w:rsid w:val="00150B61"/>
    <w:rsid w:val="00161C2E"/>
    <w:rsid w:val="001808F3"/>
    <w:rsid w:val="001D299C"/>
    <w:rsid w:val="002134C9"/>
    <w:rsid w:val="00217721"/>
    <w:rsid w:val="00257F35"/>
    <w:rsid w:val="0030739C"/>
    <w:rsid w:val="003C4961"/>
    <w:rsid w:val="003D2DD2"/>
    <w:rsid w:val="00423BC3"/>
    <w:rsid w:val="00466A27"/>
    <w:rsid w:val="004F42CB"/>
    <w:rsid w:val="005B7ADA"/>
    <w:rsid w:val="00704785"/>
    <w:rsid w:val="0070768E"/>
    <w:rsid w:val="00745054"/>
    <w:rsid w:val="00783DE4"/>
    <w:rsid w:val="00784C42"/>
    <w:rsid w:val="007E477C"/>
    <w:rsid w:val="00812F95"/>
    <w:rsid w:val="00830D3E"/>
    <w:rsid w:val="0087373E"/>
    <w:rsid w:val="0088425B"/>
    <w:rsid w:val="0096135B"/>
    <w:rsid w:val="009A5FDD"/>
    <w:rsid w:val="00A946D6"/>
    <w:rsid w:val="00BA301F"/>
    <w:rsid w:val="00C32C07"/>
    <w:rsid w:val="00CC4176"/>
    <w:rsid w:val="00D03504"/>
    <w:rsid w:val="00E25A43"/>
    <w:rsid w:val="00E458F1"/>
    <w:rsid w:val="00EA2498"/>
    <w:rsid w:val="00EB57BE"/>
    <w:rsid w:val="03656507"/>
    <w:rsid w:val="036F13EF"/>
    <w:rsid w:val="09B71569"/>
    <w:rsid w:val="151F09FC"/>
    <w:rsid w:val="21FF772F"/>
    <w:rsid w:val="2B373D35"/>
    <w:rsid w:val="2DB95689"/>
    <w:rsid w:val="30A92C7B"/>
    <w:rsid w:val="3125611D"/>
    <w:rsid w:val="32257B67"/>
    <w:rsid w:val="3D3F24E2"/>
    <w:rsid w:val="3F49F267"/>
    <w:rsid w:val="45F26D56"/>
    <w:rsid w:val="50E22CB2"/>
    <w:rsid w:val="56C32387"/>
    <w:rsid w:val="5A3176D0"/>
    <w:rsid w:val="5EDB47BE"/>
    <w:rsid w:val="622F4764"/>
    <w:rsid w:val="65243743"/>
    <w:rsid w:val="69D3793A"/>
    <w:rsid w:val="71B7B2CC"/>
    <w:rsid w:val="753711E8"/>
    <w:rsid w:val="77B31C43"/>
    <w:rsid w:val="785C1320"/>
    <w:rsid w:val="7ABE7D31"/>
    <w:rsid w:val="7CC66164"/>
    <w:rsid w:val="7DAF8965"/>
    <w:rsid w:val="7DE60AC5"/>
    <w:rsid w:val="7FF3F9CF"/>
    <w:rsid w:val="9CBFC856"/>
    <w:rsid w:val="AF3DA5F6"/>
    <w:rsid w:val="AFE7D6C7"/>
    <w:rsid w:val="B9335B13"/>
    <w:rsid w:val="C73D2B08"/>
    <w:rsid w:val="CDB14C61"/>
    <w:rsid w:val="D5BFD36A"/>
    <w:rsid w:val="D77F2D3A"/>
    <w:rsid w:val="DDC8D573"/>
    <w:rsid w:val="DFFFFFB6"/>
    <w:rsid w:val="EB3465DD"/>
    <w:rsid w:val="F3793A68"/>
    <w:rsid w:val="F96CB9C4"/>
    <w:rsid w:val="FDD352F8"/>
    <w:rsid w:val="FECE3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spacing w:line="560" w:lineRule="exact"/>
      <w:ind w:firstLine="880" w:firstLineChars="200"/>
      <w:jc w:val="both"/>
    </w:pPr>
    <w:rPr>
      <w:rFonts w:ascii="Calibri" w:hAnsi="Calibri" w:eastAsia="仿宋_GB2312" w:cs="Times New Roman"/>
      <w:kern w:val="2"/>
      <w:sz w:val="32"/>
      <w:szCs w:val="24"/>
      <w:lang w:val="en-US" w:eastAsia="zh-CN" w:bidi="ar-SA"/>
    </w:rPr>
  </w:style>
  <w:style w:type="paragraph" w:styleId="3">
    <w:name w:val="heading 1"/>
    <w:basedOn w:val="1"/>
    <w:next w:val="1"/>
    <w:link w:val="18"/>
    <w:qFormat/>
    <w:uiPriority w:val="0"/>
    <w:pPr>
      <w:ind w:firstLine="0" w:firstLineChars="0"/>
      <w:jc w:val="left"/>
      <w:outlineLvl w:val="0"/>
    </w:pPr>
    <w:rPr>
      <w:rFonts w:eastAsia="黑体" w:asciiTheme="majorHAnsi" w:hAnsiTheme="majorHAnsi"/>
      <w:sz w:val="30"/>
    </w:rPr>
  </w:style>
  <w:style w:type="paragraph" w:styleId="4">
    <w:name w:val="heading 2"/>
    <w:basedOn w:val="1"/>
    <w:next w:val="1"/>
    <w:semiHidden/>
    <w:unhideWhenUsed/>
    <w:qFormat/>
    <w:uiPriority w:val="0"/>
    <w:pPr>
      <w:keepNext/>
      <w:keepLines/>
      <w:outlineLvl w:val="1"/>
    </w:pPr>
    <w:rPr>
      <w:rFonts w:ascii="文泉驿微米黑" w:hAnsi="文泉驿微米黑" w:eastAsia="黑体"/>
    </w:rPr>
  </w:style>
  <w:style w:type="paragraph" w:styleId="5">
    <w:name w:val="heading 3"/>
    <w:basedOn w:val="1"/>
    <w:next w:val="1"/>
    <w:semiHidden/>
    <w:unhideWhenUsed/>
    <w:qFormat/>
    <w:uiPriority w:val="0"/>
    <w:pPr>
      <w:keepNext/>
      <w:keepLines/>
      <w:outlineLvl w:val="2"/>
    </w:pPr>
    <w:rPr>
      <w:rFonts w:eastAsia="楷体_GB231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eastAsia="宋体"/>
      <w:sz w:val="21"/>
    </w:rPr>
  </w:style>
  <w:style w:type="paragraph" w:styleId="6">
    <w:name w:val="Document Map"/>
    <w:basedOn w:val="1"/>
    <w:qFormat/>
    <w:uiPriority w:val="0"/>
    <w:rPr>
      <w:rFonts w:ascii="宋体"/>
      <w:sz w:val="18"/>
      <w:szCs w:val="18"/>
    </w:rPr>
  </w:style>
  <w:style w:type="paragraph" w:styleId="7">
    <w:name w:val="Body Text Indent"/>
    <w:basedOn w:val="1"/>
    <w:qFormat/>
    <w:uiPriority w:val="0"/>
    <w:pPr>
      <w:ind w:left="420" w:leftChars="200"/>
    </w:pPr>
  </w:style>
  <w:style w:type="paragraph" w:styleId="8">
    <w:name w:val="Balloon Text"/>
    <w:basedOn w:val="1"/>
    <w:link w:val="32"/>
    <w:uiPriority w:val="0"/>
    <w:pPr>
      <w:spacing w:line="240" w:lineRule="auto"/>
    </w:pPr>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index 9"/>
    <w:basedOn w:val="1"/>
    <w:next w:val="1"/>
    <w:qFormat/>
    <w:uiPriority w:val="0"/>
    <w:pPr>
      <w:spacing w:line="594" w:lineRule="exact"/>
      <w:ind w:left="3360"/>
    </w:pPr>
    <w:rPr>
      <w:rFonts w:ascii="Times New Roman" w:hAnsi="Times New Roman" w:eastAsia="方正仿宋简体"/>
      <w:szCs w:val="32"/>
    </w:rPr>
  </w:style>
  <w:style w:type="paragraph" w:styleId="12">
    <w:name w:val="Normal (Web)"/>
    <w:basedOn w:val="1"/>
    <w:next w:val="11"/>
    <w:unhideWhenUsed/>
    <w:qFormat/>
    <w:uiPriority w:val="99"/>
    <w:pPr>
      <w:widowControl/>
      <w:spacing w:before="100" w:beforeAutospacing="1" w:after="100" w:afterAutospacing="1"/>
      <w:jc w:val="left"/>
    </w:pPr>
    <w:rPr>
      <w:rFonts w:ascii="宋体" w:hAnsi="宋体" w:cs="宋体"/>
      <w:kern w:val="0"/>
      <w:sz w:val="24"/>
    </w:rPr>
  </w:style>
  <w:style w:type="paragraph" w:styleId="13">
    <w:name w:val="Body Text First Indent 2"/>
    <w:basedOn w:val="7"/>
    <w:qFormat/>
    <w:uiPriority w:val="0"/>
    <w:pPr>
      <w:ind w:firstLine="42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customStyle="1" w:styleId="18">
    <w:name w:val="标题 1 Char"/>
    <w:basedOn w:val="16"/>
    <w:link w:val="3"/>
    <w:qFormat/>
    <w:uiPriority w:val="9"/>
    <w:rPr>
      <w:rFonts w:eastAsia="黑体" w:cs="Times New Roman" w:asciiTheme="majorHAnsi" w:hAnsiTheme="majorHAnsi"/>
      <w:sz w:val="30"/>
      <w:szCs w:val="24"/>
    </w:rPr>
  </w:style>
  <w:style w:type="paragraph" w:customStyle="1" w:styleId="19">
    <w:name w:val="正文-公1"/>
    <w:basedOn w:val="20"/>
    <w:next w:val="12"/>
    <w:qFormat/>
    <w:uiPriority w:val="0"/>
    <w:pPr>
      <w:ind w:firstLine="200" w:firstLineChars="200"/>
    </w:pPr>
    <w:rPr>
      <w:color w:val="000000"/>
    </w:rPr>
  </w:style>
  <w:style w:type="paragraph" w:customStyle="1" w:styleId="20">
    <w:name w:val="正文 New New New New New New New New New New New New New New New New New New New New New New New New New New New New New New New New New New New New New New New New New New New New New"/>
    <w:next w:val="19"/>
    <w:qFormat/>
    <w:uiPriority w:val="0"/>
    <w:pPr>
      <w:widowControl w:val="0"/>
      <w:jc w:val="both"/>
    </w:pPr>
    <w:rPr>
      <w:rFonts w:ascii="Calibri" w:hAnsi="Calibri" w:eastAsia="宋体" w:cs="Times New Roman"/>
      <w:kern w:val="2"/>
      <w:sz w:val="21"/>
      <w:szCs w:val="24"/>
      <w:lang w:val="en-US" w:eastAsia="zh-CN" w:bidi="ar-SA"/>
    </w:rPr>
  </w:style>
  <w:style w:type="paragraph" w:customStyle="1" w:styleId="21">
    <w:name w:val="正文 New"/>
    <w:next w:val="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
    <w:name w:val="二级条标题"/>
    <w:basedOn w:val="24"/>
    <w:next w:val="1"/>
    <w:qFormat/>
    <w:uiPriority w:val="99"/>
    <w:pPr>
      <w:numPr>
        <w:ilvl w:val="2"/>
      </w:numPr>
      <w:spacing w:before="50" w:after="50"/>
      <w:ind w:left="0"/>
      <w:outlineLvl w:val="3"/>
    </w:pPr>
  </w:style>
  <w:style w:type="paragraph" w:customStyle="1" w:styleId="24">
    <w:name w:val="一级条标题"/>
    <w:next w:val="22"/>
    <w:qFormat/>
    <w:uiPriority w:val="99"/>
    <w:pPr>
      <w:numPr>
        <w:ilvl w:val="1"/>
        <w:numId w:val="1"/>
      </w:numPr>
      <w:spacing w:beforeLines="50" w:afterLines="50"/>
      <w:outlineLvl w:val="2"/>
    </w:pPr>
    <w:rPr>
      <w:rFonts w:ascii="黑体" w:hAnsi="Times New Roman" w:eastAsia="黑体" w:cs="黑体"/>
      <w:sz w:val="21"/>
      <w:szCs w:val="21"/>
      <w:lang w:val="en-US" w:eastAsia="zh-CN" w:bidi="ar-SA"/>
    </w:rPr>
  </w:style>
  <w:style w:type="paragraph" w:customStyle="1" w:styleId="25">
    <w:name w:val="章标题"/>
    <w:next w:val="22"/>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26">
    <w:name w:val="BodyText"/>
    <w:basedOn w:val="1"/>
    <w:next w:val="27"/>
    <w:qFormat/>
    <w:uiPriority w:val="0"/>
    <w:pPr>
      <w:spacing w:after="120"/>
      <w:textAlignment w:val="baseline"/>
    </w:pPr>
    <w:rPr>
      <w:rFonts w:eastAsia="宋体"/>
      <w:szCs w:val="22"/>
    </w:rPr>
  </w:style>
  <w:style w:type="paragraph" w:customStyle="1" w:styleId="27">
    <w:name w:val="UserStyle_0"/>
    <w:next w:val="1"/>
    <w:qFormat/>
    <w:uiPriority w:val="0"/>
    <w:pPr>
      <w:textAlignment w:val="baseline"/>
    </w:pPr>
    <w:rPr>
      <w:rFonts w:ascii="Times New Roman" w:hAnsi="Times New Roman" w:eastAsia="Times New Roman" w:cs="Times New Roman"/>
      <w:sz w:val="32"/>
      <w:szCs w:val="22"/>
      <w:lang w:val="en-US" w:eastAsia="zh-CN" w:bidi="ar-SA"/>
    </w:rPr>
  </w:style>
  <w:style w:type="paragraph" w:customStyle="1" w:styleId="28">
    <w:name w:val="Default"/>
    <w:qFormat/>
    <w:uiPriority w:val="0"/>
    <w:pPr>
      <w:widowControl w:val="0"/>
      <w:autoSpaceDE w:val="0"/>
      <w:autoSpaceDN w:val="0"/>
      <w:adjustRightInd w:val="0"/>
    </w:pPr>
    <w:rPr>
      <w:rFonts w:ascii="黑体" w:hAnsi="黑体" w:eastAsia="宋体" w:cs="黑体"/>
      <w:color w:val="000000"/>
      <w:sz w:val="24"/>
      <w:szCs w:val="24"/>
      <w:lang w:val="en-US" w:eastAsia="zh-CN" w:bidi="ar-SA"/>
    </w:rPr>
  </w:style>
  <w:style w:type="character" w:customStyle="1" w:styleId="29">
    <w:name w:val="NormalCharacter"/>
    <w:link w:val="30"/>
    <w:qFormat/>
    <w:uiPriority w:val="0"/>
    <w:rPr>
      <w:rFonts w:ascii="仿宋_GB2312" w:hAnsi="Courier" w:cs="Times New Roman"/>
      <w:sz w:val="32"/>
      <w:szCs w:val="24"/>
    </w:rPr>
  </w:style>
  <w:style w:type="paragraph" w:customStyle="1" w:styleId="30">
    <w:name w:val="UserStyle_2"/>
    <w:basedOn w:val="31"/>
    <w:link w:val="29"/>
    <w:qFormat/>
    <w:uiPriority w:val="0"/>
    <w:pPr>
      <w:spacing w:line="540" w:lineRule="exact"/>
      <w:ind w:firstLine="640" w:firstLineChars="200"/>
    </w:pPr>
    <w:rPr>
      <w:rFonts w:ascii="仿宋_GB2312" w:hAnsi="Courier" w:cs="Times New Roman"/>
      <w:sz w:val="32"/>
      <w:szCs w:val="24"/>
    </w:rPr>
  </w:style>
  <w:style w:type="paragraph" w:customStyle="1" w:styleId="31">
    <w:name w:val="UserStyle_3"/>
    <w:qFormat/>
    <w:uiPriority w:val="0"/>
    <w:pPr>
      <w:jc w:val="both"/>
      <w:textAlignment w:val="baseline"/>
    </w:pPr>
    <w:rPr>
      <w:rFonts w:ascii="Times New Roman" w:hAnsi="Times New Roman" w:eastAsia="仿宋_GB2312" w:cs="宋体"/>
      <w:kern w:val="2"/>
      <w:sz w:val="36"/>
      <w:szCs w:val="36"/>
      <w:lang w:val="en-US" w:eastAsia="zh-CN" w:bidi="ar-SA"/>
    </w:rPr>
  </w:style>
  <w:style w:type="character" w:customStyle="1" w:styleId="32">
    <w:name w:val="批注框文本 Char"/>
    <w:basedOn w:val="16"/>
    <w:link w:val="8"/>
    <w:uiPriority w:val="0"/>
    <w:rPr>
      <w:rFonts w:ascii="Calibri" w:hAnsi="Calibri" w:eastAsia="仿宋_GB2312" w:cs="Times New Roman"/>
      <w:kern w:val="2"/>
      <w:sz w:val="18"/>
      <w:szCs w:val="18"/>
    </w:rPr>
  </w:style>
  <w:style w:type="paragraph" w:customStyle="1" w:styleId="33">
    <w:name w:val="标准文件_段"/>
    <w:link w:val="34"/>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4">
    <w:name w:val="标准文件_段 Char"/>
    <w:link w:val="33"/>
    <w:uiPriority w:val="0"/>
    <w:rPr>
      <w:rFonts w:ascii="宋体" w:hAnsi="Times New Roman" w:eastAsia="宋体" w:cs="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微软公司</Company>
  <Pages>5</Pages>
  <Words>324</Words>
  <Characters>1850</Characters>
  <Lines>15</Lines>
  <Paragraphs>4</Paragraphs>
  <TotalTime>71</TotalTime>
  <ScaleCrop>false</ScaleCrop>
  <LinksUpToDate>false</LinksUpToDate>
  <CharactersWithSpaces>2170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2024-03-01T02:58:00Z</dcterms:created>
  <dc:creator>Chasing dreams of Langzhong</dc:creator>
  <cp:lastModifiedBy>admin</cp:lastModifiedBy>
  <cp:lastPrinted>2023-09-20T15:15:00Z</cp:lastPrinted>
  <dcterms:modified xsi:type="dcterms:W3CDTF">2024-03-08T07:15:20Z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00C8747DCBD74747B79BF1E0E98AB962</vt:lpwstr>
  </property>
</Properties>
</file>