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白云区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病死畜禽</w:t>
      </w: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收运及</w:t>
      </w: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集中无害化处理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rPr>
          <w:rFonts w:hint="eastAsia" w:ascii="方正小标宋简体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lang w:eastAsia="zh-CN"/>
        </w:rPr>
        <w:t>竞争性谈判公告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《中华人民共和国政府采购法》《中华人民共和国政府采购法实施条例》等有关法律法规。为加强我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区重</w:t>
      </w:r>
      <w:r>
        <w:rPr>
          <w:rFonts w:hint="eastAsia" w:ascii="仿宋_GB2312" w:hAnsi="仿宋" w:eastAsia="仿宋_GB2312" w:cs="Times New Roman"/>
          <w:sz w:val="32"/>
          <w:szCs w:val="32"/>
        </w:rPr>
        <w:t>大动物疫病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防控工作</w:t>
      </w:r>
      <w:r>
        <w:rPr>
          <w:rFonts w:hint="eastAsia" w:ascii="仿宋_GB2312" w:hAnsi="仿宋" w:eastAsia="仿宋_GB2312" w:cs="Times New Roman"/>
          <w:sz w:val="32"/>
          <w:szCs w:val="32"/>
        </w:rPr>
        <w:t>，我局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采取竞争性谈判方式</w:t>
      </w:r>
      <w:r>
        <w:rPr>
          <w:rFonts w:hint="eastAsia" w:ascii="仿宋_GB2312" w:hAnsi="仿宋" w:eastAsia="仿宋_GB2312" w:cs="Times New Roman"/>
          <w:sz w:val="32"/>
          <w:szCs w:val="32"/>
        </w:rPr>
        <w:t>采购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白云区</w:t>
      </w:r>
      <w:r>
        <w:rPr>
          <w:rFonts w:hint="eastAsia" w:ascii="仿宋_GB2312" w:hAnsi="仿宋_GB2312" w:eastAsia="仿宋_GB2312" w:cs="仿宋_GB2312"/>
          <w:sz w:val="32"/>
          <w:szCs w:val="32"/>
        </w:rPr>
        <w:t>病死畜禽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收运及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集中无害化处理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欢迎符合条件的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仿宋_GB2312" w:hAnsi="仿宋" w:eastAsia="仿宋_GB2312" w:cs="Times New Roman"/>
          <w:sz w:val="32"/>
          <w:szCs w:val="32"/>
        </w:rPr>
        <w:t>参加。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项目名称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白云区</w:t>
      </w:r>
      <w:r>
        <w:rPr>
          <w:rFonts w:hint="eastAsia" w:ascii="仿宋_GB2312" w:hAnsi="仿宋_GB2312" w:eastAsia="仿宋_GB2312" w:cs="仿宋_GB2312"/>
          <w:sz w:val="32"/>
          <w:szCs w:val="32"/>
        </w:rPr>
        <w:t>病死畜禽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收运及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集中无害化处理。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560" w:lineRule="exact"/>
        <w:ind w:left="0" w:leftChars="0"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项目编号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、资金预算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病死猪（养殖及屠宰环节）收运及集中无害化处理财政补助资金最高限价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80元/头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；屠宰场不可食用三腺废弃物（按90公斤折算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头病死猪）收运及集中无害化处理财政补助资金最高限价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80元/头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其他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eastAsia="zh-CN"/>
        </w:rPr>
        <w:t>病死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畜禽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eastAsia="zh-CN"/>
        </w:rPr>
        <w:t>收运及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集中无害化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eastAsia="zh-CN"/>
        </w:rPr>
        <w:t>处理最高限价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880元/吨（该费用由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eastAsia="zh-CN"/>
        </w:rPr>
        <w:t>养殖主体自行承担）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、采购方式及要求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本项目采取竞争性谈判方式，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为保证病死畜禽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收运及集中</w:t>
      </w:r>
      <w:r>
        <w:rPr>
          <w:rFonts w:hint="eastAsia" w:ascii="仿宋_GB2312" w:hAnsi="仿宋_GB2312" w:eastAsia="仿宋_GB2312" w:cs="仿宋_GB2312"/>
          <w:sz w:val="32"/>
          <w:szCs w:val="32"/>
        </w:rPr>
        <w:t>无害化处理防疫风险、环保风险、服务可靠性等综合因素进行评价，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以报价最低、服务质量较好的中标原则确定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本项目不接受联合体投标。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五、招标采购实施单位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贵阳市白云区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农业农村局。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六、投标人资格要求及提供的材料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符合《中华人民共和国政府采购法》第二十二条之供应商资格条件要求，并按照《政府采购法实施条例》第十七条的规定提供以下材料：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1.法人或者其他组织的自然人身份证明、营业执照等证明文件（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经营范围应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包含病死畜禽无害化处理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或动物无害化处理或畜禽养殖废弃物无害化利用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2.审计机构出具的2021年度或2022年度的财务审计报告，或基本开户银行2022年出具的有效的资信证明；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3.2022年以来任意一个月缴纳税收的凭据或证明材料（依法免税的，提供有效的证明文件）；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4.2022年以来任意一个月社会保障资金缴纳证明材料（不需要缴纳社保资金的，提供有效的证明文件）；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5.参加政府采购活动前3年内在经营活动中没有重大违法记录的书面声明（自行声明）；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6.本次项目不接受联合体投标；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.法律、行政法规规定的其他条件：供应商自行承诺，在“信用中国”网站（www.creditchina.gov.cn）、中国政府采购网（www.ccgp.gov.cn）等渠道查询中未被列入失信被执行人名单、重大税收违法案件当事人名单、政府采购严重违法失信行为记录名单，查询截止时间点为开标当日评审前，由采购小组对投标人信用记录进行甄别，对列入失信被执行人、重大税收违法案件当事人名单、政府采购严重违法失信行为记录名单的供应商，拒绝其参与本次政府采购活动，并承担由此造成的一切法律责任及后果（承诺自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8.投标人委托他人代理的，须出具授权委托代理书。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七、技术及服务要求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（一）病死畜禽无害化处理技术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病死畜禽无害化处理生产工艺须遵循《病死及病害动物无害化处理技术规范》（农医发〔2017〕25号）的相关规定。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1.服务年限为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白云区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根据实际养殖情况建设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病死畜禽</w:t>
      </w:r>
      <w:r>
        <w:rPr>
          <w:rFonts w:hint="eastAsia" w:ascii="仿宋_GB2312" w:hAnsi="仿宋_GB2312" w:eastAsia="仿宋_GB2312" w:cs="仿宋_GB2312"/>
          <w:sz w:val="32"/>
          <w:szCs w:val="32"/>
        </w:rPr>
        <w:t>转运体系。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八、技术响应要求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投标文件中，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</w:rPr>
        <w:t>须满足农业部《病死及病害动物无害化处理技术规范》（农医发〔2017〕25号）的规定。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根据主要性能指标填写“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表”。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响应文件须提交白云区病死畜禽无害化处理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收运体系建设方案。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w w:val="96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病死猪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eastAsia="zh-CN"/>
        </w:rPr>
        <w:t>收运及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集中无害化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eastAsia="zh-CN"/>
        </w:rPr>
        <w:t>处理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报价只能按国家相关政策报价</w:t>
      </w:r>
      <w:r>
        <w:rPr>
          <w:rFonts w:hint="default" w:ascii="Arial" w:hAnsi="Arial" w:eastAsia="仿宋_GB2312" w:cs="Arial"/>
          <w:w w:val="96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8</w:t>
      </w:r>
      <w:r>
        <w:rPr>
          <w:rFonts w:ascii="仿宋_GB2312" w:hAnsi="仿宋_GB2312" w:eastAsia="仿宋_GB2312" w:cs="仿宋_GB2312"/>
          <w:w w:val="96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元/头，其他畜禽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eastAsia="zh-CN"/>
        </w:rPr>
        <w:t>收运及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集中无害化处置服务费</w:t>
      </w:r>
      <w:r>
        <w:rPr>
          <w:rFonts w:hint="default" w:ascii="Arial" w:hAnsi="Arial" w:eastAsia="仿宋_GB2312" w:cs="Arial"/>
          <w:w w:val="96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  <w:lang w:val="en-US" w:eastAsia="zh-CN"/>
        </w:rPr>
        <w:t>88</w:t>
      </w:r>
      <w:r>
        <w:rPr>
          <w:rFonts w:ascii="仿宋_GB2312" w:hAnsi="仿宋_GB2312" w:eastAsia="仿宋_GB2312" w:cs="仿宋_GB2312"/>
          <w:w w:val="96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w w:val="96"/>
          <w:sz w:val="32"/>
          <w:szCs w:val="32"/>
        </w:rPr>
        <w:t>元/吨，否则视为废标。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采购小</w:t>
      </w:r>
      <w:r>
        <w:rPr>
          <w:rFonts w:hint="eastAsia" w:ascii="仿宋_GB2312" w:hAnsi="仿宋_GB2312" w:eastAsia="仿宋_GB2312" w:cs="仿宋_GB2312"/>
          <w:sz w:val="32"/>
          <w:szCs w:val="32"/>
        </w:rPr>
        <w:t>组根据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服务、价格、企业实力及诚信等确定中标人。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w w:val="97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w w:val="97"/>
          <w:sz w:val="32"/>
          <w:szCs w:val="32"/>
        </w:rPr>
        <w:t>中标人不允许转包，中标人必须提供相应服务。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十、商务部分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（一）服务要求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与招标方签订的合作协议为准。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服务</w:t>
      </w:r>
      <w:r>
        <w:rPr>
          <w:rFonts w:hint="eastAsia" w:ascii="楷体_GB2312" w:hAnsi="楷体_GB2312" w:eastAsia="楷体_GB2312" w:cs="楷体_GB2312"/>
          <w:sz w:val="32"/>
          <w:szCs w:val="32"/>
        </w:rPr>
        <w:t>质量与服务承诺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1.中标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需按照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与招标方签订的合作协议，完整、按时提供相应服务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在承诺的期限内对甲方辖区内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病死畜禽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提供全部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收运及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集中式无害化处理。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需在约定时间内完成收运体系建设。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十一、服务验收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以中标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与招标方签订的合作协议为准。中标企业按照农业部《病死及病害动物无害化处理技术规范》（农医发〔2017〕25号）的规定处理病死畜禽。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黑体" w:hAnsi="黑体" w:eastAsia="黑体"/>
          <w:sz w:val="32"/>
          <w:szCs w:val="32"/>
          <w:lang w:val="zh-CN" w:eastAsia="zh-CN"/>
        </w:rPr>
      </w:pPr>
      <w:r>
        <w:rPr>
          <w:rFonts w:hint="eastAsia" w:ascii="黑体" w:hAnsi="黑体" w:eastAsia="黑体"/>
          <w:sz w:val="32"/>
          <w:szCs w:val="32"/>
          <w:lang w:val="zh-CN" w:eastAsia="zh-CN"/>
        </w:rPr>
        <w:t>十二、谈判详情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>报名时间：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日至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2023年12月20日17:00时止，每天报名时间9:00—17:00（北京时间）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zh-CN" w:eastAsia="zh-CN"/>
        </w:rPr>
        <w:t>报名地点：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贵阳市白云区农业农村局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1207办公室（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贵阳市白云区行政中心三期）；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zh-CN" w:eastAsia="zh-CN"/>
        </w:rPr>
        <w:t>谈判时间：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日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14:00时（北京时间）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zh-CN" w:eastAsia="zh-CN"/>
        </w:rPr>
        <w:t>谈判地点：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贵阳市白云区农业农村局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1209会议室（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贵阳市白云区行政中心三期）；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zh-CN" w:eastAsia="zh-CN"/>
        </w:rPr>
        <w:t>联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zh-CN" w:eastAsia="zh-CN"/>
        </w:rPr>
        <w:t>系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zh-CN" w:eastAsia="zh-CN"/>
        </w:rPr>
        <w:t>人：</w:t>
      </w:r>
      <w:r>
        <w:rPr>
          <w:rFonts w:hint="eastAsia" w:ascii="仿宋_GB2312" w:hAnsi="仿宋" w:eastAsia="仿宋_GB2312" w:cs="Times New Roman"/>
          <w:sz w:val="32"/>
          <w:szCs w:val="32"/>
          <w:lang w:val="zh-CN" w:eastAsia="zh-CN"/>
        </w:rPr>
        <w:t>赵子刚；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zh-CN" w:eastAsia="zh-CN"/>
        </w:rPr>
        <w:t>报名联系电话：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18984859502；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本公告在白云区人民政府采购网公开栏发布。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附件：白云区</w:t>
      </w:r>
      <w:r>
        <w:rPr>
          <w:rFonts w:hint="eastAsia" w:ascii="仿宋_GB2312" w:hAnsi="仿宋_GB2312" w:eastAsia="仿宋_GB2312" w:cs="仿宋_GB2312"/>
          <w:sz w:val="32"/>
          <w:szCs w:val="32"/>
        </w:rPr>
        <w:t>病死畜禽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收运及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集中无害化处理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贵阳市白云区农业农村局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2023年12月15日</w:t>
      </w:r>
    </w:p>
    <w:p>
      <w:pPr>
        <w:rPr>
          <w:rFonts w:hint="eastAsia"/>
        </w:rPr>
      </w:pPr>
    </w:p>
    <w:p>
      <w:pPr>
        <w:rPr>
          <w:rFonts w:hint="eastAsi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eastAsia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白云区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病死畜禽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收运及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集中无害化处理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报价表</w:t>
      </w:r>
    </w:p>
    <w:tbl>
      <w:tblPr>
        <w:tblStyle w:val="7"/>
        <w:tblW w:w="51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2671"/>
        <w:gridCol w:w="589"/>
        <w:gridCol w:w="1965"/>
        <w:gridCol w:w="4675"/>
        <w:gridCol w:w="894"/>
        <w:gridCol w:w="891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服务项目名称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病死畜禽收运及无害化处理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（元/头，元/吨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技术性能指标要求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是否完全响应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（养殖及屠宰环节）收运及集中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无害化处理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无害化处理技术要求符合《病死及病害动物无害化处理技术规范》（农医发〔2017〕25号）的相关规定。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屠宰场不可食用三腺废弃物（按90公斤折算一头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折算病死猪收运及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无害化处理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无害化处理技术要求符合《病死及病害动物无害化处理技术规范》（农医发〔2017〕25号）的相关规定。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收运及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处理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无害化处理技术要求符合《病死及病害动物无害化处理技术规范》（农医发〔2017〕25号）的相关规定。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center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zh-CN" w:eastAsia="zh-CN" w:bidi="ar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zh-CN" w:eastAsia="zh-CN" w:bidi="ar"/>
        </w:rPr>
        <w:t>报价单位：（公章）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法人或授权委托代表签字: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报价时间: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年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月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日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</w:t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FA2E8B"/>
    <w:multiLevelType w:val="singleLevel"/>
    <w:tmpl w:val="D3FA2E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jU0NjljNjFkYjllMTU5MjVmZDczZDI4YzkyN2EifQ=="/>
  </w:docVars>
  <w:rsids>
    <w:rsidRoot w:val="00000000"/>
    <w:rsid w:val="008B3351"/>
    <w:rsid w:val="01A13784"/>
    <w:rsid w:val="01CF7782"/>
    <w:rsid w:val="02834B89"/>
    <w:rsid w:val="02A42CCF"/>
    <w:rsid w:val="03346281"/>
    <w:rsid w:val="04290B77"/>
    <w:rsid w:val="04433C3F"/>
    <w:rsid w:val="04B14468"/>
    <w:rsid w:val="05A14589"/>
    <w:rsid w:val="07210E68"/>
    <w:rsid w:val="07AB02AD"/>
    <w:rsid w:val="08871CD8"/>
    <w:rsid w:val="0C0C7211"/>
    <w:rsid w:val="0E71798E"/>
    <w:rsid w:val="0FDF3286"/>
    <w:rsid w:val="10FC6EE7"/>
    <w:rsid w:val="11AC14F9"/>
    <w:rsid w:val="13B51AEC"/>
    <w:rsid w:val="13F41EF2"/>
    <w:rsid w:val="16C043EA"/>
    <w:rsid w:val="1A396DC8"/>
    <w:rsid w:val="1B39501B"/>
    <w:rsid w:val="1CB43903"/>
    <w:rsid w:val="1DE41D5F"/>
    <w:rsid w:val="22A9698B"/>
    <w:rsid w:val="23DF164F"/>
    <w:rsid w:val="24B72547"/>
    <w:rsid w:val="25C26EDF"/>
    <w:rsid w:val="25E95912"/>
    <w:rsid w:val="262F768B"/>
    <w:rsid w:val="26CE4ED1"/>
    <w:rsid w:val="26D4268D"/>
    <w:rsid w:val="2AC94190"/>
    <w:rsid w:val="2BA66299"/>
    <w:rsid w:val="2CBA3A96"/>
    <w:rsid w:val="2D942FD3"/>
    <w:rsid w:val="30132950"/>
    <w:rsid w:val="30972BC6"/>
    <w:rsid w:val="31F84007"/>
    <w:rsid w:val="345247CD"/>
    <w:rsid w:val="37F9726E"/>
    <w:rsid w:val="38781EEB"/>
    <w:rsid w:val="38B41C49"/>
    <w:rsid w:val="3DBF15FB"/>
    <w:rsid w:val="3DF522FE"/>
    <w:rsid w:val="3E391C30"/>
    <w:rsid w:val="40361186"/>
    <w:rsid w:val="415602D0"/>
    <w:rsid w:val="41E4385B"/>
    <w:rsid w:val="420944BD"/>
    <w:rsid w:val="435F79E6"/>
    <w:rsid w:val="48B6399D"/>
    <w:rsid w:val="49B870BD"/>
    <w:rsid w:val="4A3C398D"/>
    <w:rsid w:val="4AF70B27"/>
    <w:rsid w:val="4DBD0189"/>
    <w:rsid w:val="506F050A"/>
    <w:rsid w:val="50B84F22"/>
    <w:rsid w:val="51957D86"/>
    <w:rsid w:val="51E639CC"/>
    <w:rsid w:val="529F23C6"/>
    <w:rsid w:val="5493067D"/>
    <w:rsid w:val="54D45C77"/>
    <w:rsid w:val="54F5567E"/>
    <w:rsid w:val="555C4543"/>
    <w:rsid w:val="57311296"/>
    <w:rsid w:val="582A7577"/>
    <w:rsid w:val="5B524B61"/>
    <w:rsid w:val="5F4170BC"/>
    <w:rsid w:val="607D27A8"/>
    <w:rsid w:val="61241E1B"/>
    <w:rsid w:val="61636F4F"/>
    <w:rsid w:val="61B54F34"/>
    <w:rsid w:val="646B7442"/>
    <w:rsid w:val="65411F82"/>
    <w:rsid w:val="66AD24D3"/>
    <w:rsid w:val="66CB19B4"/>
    <w:rsid w:val="66FD47C9"/>
    <w:rsid w:val="6BF05FCF"/>
    <w:rsid w:val="71371FB1"/>
    <w:rsid w:val="73682094"/>
    <w:rsid w:val="73A30CAC"/>
    <w:rsid w:val="75920A36"/>
    <w:rsid w:val="7642199E"/>
    <w:rsid w:val="768807FA"/>
    <w:rsid w:val="7A936D8D"/>
    <w:rsid w:val="7BC471B9"/>
    <w:rsid w:val="7C321491"/>
    <w:rsid w:val="7E9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6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正文-公1"/>
    <w:basedOn w:val="1"/>
    <w:next w:val="5"/>
    <w:qFormat/>
    <w:uiPriority w:val="99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2092</Words>
  <Characters>2202</Characters>
  <Lines>0</Lines>
  <Paragraphs>0</Paragraphs>
  <TotalTime>1</TotalTime>
  <ScaleCrop>false</ScaleCrop>
  <LinksUpToDate>false</LinksUpToDate>
  <CharactersWithSpaces>2239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2023-04-12T00:56:00Z</dcterms:created>
  <dc:creator>Administrator</dc:creator>
  <cp:lastModifiedBy>Administrator</cp:lastModifiedBy>
  <cp:lastPrinted>2023-12-15T04:09:00Z</cp:lastPrinted>
  <dcterms:modified xsi:type="dcterms:W3CDTF">2023-12-18T07:40:55Z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0BD0455D5B114E2C8C72654010BC24A1</vt:lpwstr>
  </property>
</Properties>
</file>