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36"/>
        </w:rPr>
      </w:pPr>
      <w:r>
        <w:rPr>
          <w:rFonts w:hint="eastAsia" w:ascii="宋体" w:hAnsi="宋体" w:cs="宋体"/>
          <w:b/>
          <w:bCs/>
          <w:sz w:val="36"/>
          <w:szCs w:val="36"/>
        </w:rPr>
        <w:t>附件</w:t>
      </w:r>
    </w:p>
    <w:p>
      <w:pPr>
        <w:rPr>
          <w:rFonts w:hint="eastAsia" w:ascii="宋体" w:hAnsi="宋体" w:cs="宋体"/>
          <w:sz w:val="28"/>
          <w:szCs w:val="28"/>
        </w:rPr>
      </w:pPr>
      <w:r>
        <w:rPr>
          <w:rFonts w:hint="eastAsia" w:ascii="宋体" w:hAnsi="宋体" w:cs="宋体"/>
          <w:sz w:val="28"/>
          <w:szCs w:val="28"/>
        </w:rPr>
        <w:t>附件1：</w:t>
      </w:r>
    </w:p>
    <w:tbl>
      <w:tblPr>
        <w:tblStyle w:val="6"/>
        <w:tblpPr w:leftFromText="180" w:rightFromText="180" w:vertAnchor="text" w:horzAnchor="page" w:tblpX="1459" w:tblpY="126"/>
        <w:tblOverlap w:val="never"/>
        <w:tblW w:w="9335" w:type="dxa"/>
        <w:tblInd w:w="0" w:type="dxa"/>
        <w:tblLayout w:type="fixed"/>
        <w:tblCellMar>
          <w:top w:w="15" w:type="dxa"/>
          <w:left w:w="15" w:type="dxa"/>
          <w:bottom w:w="15" w:type="dxa"/>
          <w:right w:w="15" w:type="dxa"/>
        </w:tblCellMar>
      </w:tblPr>
      <w:tblGrid>
        <w:gridCol w:w="446"/>
        <w:gridCol w:w="689"/>
        <w:gridCol w:w="3478"/>
        <w:gridCol w:w="1144"/>
        <w:gridCol w:w="1144"/>
        <w:gridCol w:w="1256"/>
        <w:gridCol w:w="1178"/>
      </w:tblGrid>
      <w:tr>
        <w:tblPrEx>
          <w:tblCellMar>
            <w:top w:w="15" w:type="dxa"/>
            <w:left w:w="15" w:type="dxa"/>
            <w:bottom w:w="15" w:type="dxa"/>
            <w:right w:w="15" w:type="dxa"/>
          </w:tblCellMar>
        </w:tblPrEx>
        <w:trPr>
          <w:trHeight w:val="833"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22"/>
                <w:szCs w:val="22"/>
              </w:rPr>
            </w:pPr>
            <w:r>
              <w:rPr>
                <w:rFonts w:hint="eastAsia" w:ascii="宋体" w:hAnsi="宋体" w:cs="仿宋_GB2312"/>
                <w:kern w:val="0"/>
                <w:sz w:val="22"/>
                <w:szCs w:val="22"/>
              </w:rPr>
              <w:t>序号</w:t>
            </w:r>
          </w:p>
        </w:tc>
        <w:tc>
          <w:tcPr>
            <w:tcW w:w="4167" w:type="dxa"/>
            <w:gridSpan w:val="2"/>
            <w:tcBorders>
              <w:top w:val="single" w:color="auto" w:sz="4" w:space="0"/>
              <w:left w:val="single" w:color="auto" w:sz="4" w:space="0"/>
              <w:bottom w:val="single" w:color="auto" w:sz="4" w:space="0"/>
              <w:right w:val="single" w:color="auto" w:sz="4" w:space="0"/>
              <w:tl2br w:val="single" w:color="000000" w:sz="4" w:space="0"/>
            </w:tcBorders>
            <w:shd w:val="clear" w:color="auto" w:fill="FFFFFF"/>
            <w:noWrap w:val="0"/>
            <w:vAlign w:val="center"/>
          </w:tcPr>
          <w:p>
            <w:pPr>
              <w:widowControl/>
              <w:jc w:val="left"/>
              <w:textAlignment w:val="center"/>
              <w:rPr>
                <w:rFonts w:ascii="宋体" w:hAnsi="宋体" w:cs="仿宋_GB2312"/>
                <w:kern w:val="0"/>
                <w:sz w:val="22"/>
                <w:szCs w:val="22"/>
              </w:rPr>
            </w:pPr>
            <w:r>
              <w:rPr>
                <w:rFonts w:hint="eastAsia" w:ascii="宋体" w:hAnsi="宋体" w:cs="仿宋_GB2312"/>
                <w:kern w:val="0"/>
                <w:sz w:val="22"/>
                <w:szCs w:val="22"/>
              </w:rPr>
              <w:t xml:space="preserve">                  投标人名称                  </w:t>
            </w:r>
            <w:r>
              <w:rPr>
                <w:rFonts w:hint="eastAsia" w:ascii="宋体" w:hAnsi="宋体" w:cs="仿宋_GB2312"/>
                <w:kern w:val="0"/>
                <w:sz w:val="22"/>
                <w:szCs w:val="22"/>
              </w:rPr>
              <w:br w:type="textWrapping"/>
            </w:r>
            <w:r>
              <w:rPr>
                <w:rFonts w:hint="eastAsia" w:ascii="宋体" w:hAnsi="宋体" w:cs="仿宋_GB2312"/>
                <w:kern w:val="0"/>
                <w:sz w:val="22"/>
                <w:szCs w:val="22"/>
              </w:rPr>
              <w:t xml:space="preserve">资格要求    </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r>
      <w:tr>
        <w:tblPrEx>
          <w:tblCellMar>
            <w:top w:w="15" w:type="dxa"/>
            <w:left w:w="15" w:type="dxa"/>
            <w:bottom w:w="15" w:type="dxa"/>
            <w:right w:w="15" w:type="dxa"/>
          </w:tblCellMar>
        </w:tblPrEx>
        <w:trPr>
          <w:trHeight w:val="1457"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32"/>
                <w:szCs w:val="32"/>
              </w:rPr>
            </w:pPr>
            <w:r>
              <w:rPr>
                <w:rFonts w:hint="eastAsia" w:ascii="宋体" w:hAnsi="宋体" w:cs="仿宋_GB2312"/>
                <w:kern w:val="0"/>
                <w:sz w:val="32"/>
                <w:szCs w:val="32"/>
              </w:rPr>
              <w:t>1</w:t>
            </w:r>
          </w:p>
        </w:tc>
        <w:tc>
          <w:tcPr>
            <w:tcW w:w="689"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22"/>
                <w:szCs w:val="22"/>
              </w:rPr>
            </w:pPr>
            <w:r>
              <w:rPr>
                <w:rFonts w:hint="eastAsia" w:ascii="宋体" w:hAnsi="宋体" w:cs="仿宋_GB2312"/>
                <w:kern w:val="0"/>
                <w:sz w:val="22"/>
                <w:szCs w:val="22"/>
              </w:rPr>
              <w:t>经营资格审查</w:t>
            </w:r>
          </w:p>
        </w:tc>
        <w:tc>
          <w:tcPr>
            <w:tcW w:w="3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ind w:left="72"/>
              <w:rPr>
                <w:rFonts w:ascii="宋体" w:hAnsi="宋体" w:cs="仿宋_GB2312"/>
                <w:kern w:val="0"/>
                <w:sz w:val="22"/>
                <w:szCs w:val="22"/>
              </w:rPr>
            </w:pPr>
            <w:r>
              <w:rPr>
                <w:rFonts w:hint="eastAsia" w:ascii="宋体" w:hAnsi="宋体" w:cs="仿宋_GB2312"/>
                <w:kern w:val="0"/>
                <w:sz w:val="22"/>
                <w:szCs w:val="22"/>
              </w:rPr>
              <w:t>具有独立承担民事责任的能力：有效的法人或其他组织的营业执照等证明文件，复印件加盖公章。</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r>
      <w:tr>
        <w:tblPrEx>
          <w:tblCellMar>
            <w:top w:w="15" w:type="dxa"/>
            <w:left w:w="15" w:type="dxa"/>
            <w:bottom w:w="15" w:type="dxa"/>
            <w:right w:w="15" w:type="dxa"/>
          </w:tblCellMar>
        </w:tblPrEx>
        <w:trPr>
          <w:trHeight w:val="2344"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仿宋_GB2312"/>
                <w:kern w:val="0"/>
                <w:sz w:val="32"/>
                <w:szCs w:val="32"/>
              </w:rPr>
            </w:pPr>
            <w:r>
              <w:rPr>
                <w:rFonts w:hint="eastAsia" w:ascii="宋体" w:hAnsi="宋体" w:cs="仿宋_GB2312"/>
                <w:kern w:val="0"/>
                <w:sz w:val="32"/>
                <w:szCs w:val="32"/>
              </w:rPr>
              <w:t>2</w:t>
            </w:r>
          </w:p>
        </w:tc>
        <w:tc>
          <w:tcPr>
            <w:tcW w:w="689" w:type="dxa"/>
            <w:vMerge w:val="continue"/>
            <w:tcBorders>
              <w:left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仿宋_GB2312"/>
                <w:kern w:val="0"/>
                <w:sz w:val="22"/>
                <w:szCs w:val="22"/>
              </w:rPr>
            </w:pPr>
          </w:p>
        </w:tc>
        <w:tc>
          <w:tcPr>
            <w:tcW w:w="3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ind w:left="72"/>
              <w:rPr>
                <w:rFonts w:hint="eastAsia" w:ascii="宋体" w:hAnsi="宋体" w:cs="仿宋_GB2312"/>
                <w:kern w:val="0"/>
                <w:sz w:val="22"/>
                <w:szCs w:val="22"/>
              </w:rPr>
            </w:pPr>
            <w:r>
              <w:rPr>
                <w:rFonts w:hint="eastAsia" w:ascii="宋体" w:hAnsi="宋体" w:cs="仿宋_GB2312"/>
                <w:kern w:val="0"/>
                <w:sz w:val="22"/>
                <w:szCs w:val="22"/>
              </w:rPr>
              <w:t>具有依法缴纳税收和社会保障资金的良好记录：提供202</w:t>
            </w:r>
            <w:r>
              <w:rPr>
                <w:rFonts w:hint="eastAsia" w:ascii="宋体" w:hAnsi="宋体" w:cs="仿宋_GB2312"/>
                <w:kern w:val="0"/>
                <w:sz w:val="22"/>
                <w:szCs w:val="22"/>
                <w:lang w:val="en-US" w:eastAsia="zh-CN"/>
              </w:rPr>
              <w:t>3</w:t>
            </w:r>
            <w:r>
              <w:rPr>
                <w:rFonts w:hint="eastAsia" w:ascii="宋体" w:hAnsi="宋体" w:cs="仿宋_GB2312"/>
                <w:kern w:val="0"/>
                <w:sz w:val="22"/>
                <w:szCs w:val="22"/>
              </w:rPr>
              <w:t>年近一个月的依法缴纳税收凭证和202</w:t>
            </w:r>
            <w:r>
              <w:rPr>
                <w:rFonts w:hint="eastAsia" w:ascii="宋体" w:hAnsi="宋体" w:cs="仿宋_GB2312"/>
                <w:kern w:val="0"/>
                <w:sz w:val="22"/>
                <w:szCs w:val="22"/>
                <w:lang w:val="en-US" w:eastAsia="zh-CN"/>
              </w:rPr>
              <w:t>3</w:t>
            </w:r>
            <w:r>
              <w:rPr>
                <w:rFonts w:hint="eastAsia" w:ascii="宋体" w:hAnsi="宋体" w:cs="仿宋_GB2312"/>
                <w:kern w:val="0"/>
                <w:sz w:val="22"/>
                <w:szCs w:val="22"/>
              </w:rPr>
              <w:t>年近一个月的缴纳社会保险证明材料，复印件加盖公章。</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r>
      <w:tr>
        <w:tblPrEx>
          <w:tblCellMar>
            <w:top w:w="15" w:type="dxa"/>
            <w:left w:w="15" w:type="dxa"/>
            <w:bottom w:w="15" w:type="dxa"/>
            <w:right w:w="15" w:type="dxa"/>
          </w:tblCellMar>
        </w:tblPrEx>
        <w:trPr>
          <w:trHeight w:val="1459"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仿宋_GB2312"/>
                <w:kern w:val="0"/>
                <w:sz w:val="32"/>
                <w:szCs w:val="32"/>
              </w:rPr>
            </w:pPr>
            <w:r>
              <w:rPr>
                <w:rFonts w:hint="eastAsia" w:ascii="宋体" w:hAnsi="宋体" w:cs="仿宋_GB2312"/>
                <w:kern w:val="0"/>
                <w:sz w:val="32"/>
                <w:szCs w:val="32"/>
              </w:rPr>
              <w:t>3</w:t>
            </w:r>
          </w:p>
        </w:tc>
        <w:tc>
          <w:tcPr>
            <w:tcW w:w="689" w:type="dxa"/>
            <w:vMerge w:val="continue"/>
            <w:tcBorders>
              <w:left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22"/>
                <w:szCs w:val="22"/>
              </w:rPr>
            </w:pPr>
          </w:p>
        </w:tc>
        <w:tc>
          <w:tcPr>
            <w:tcW w:w="3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rPr>
                <w:rFonts w:hint="eastAsia" w:ascii="宋体" w:hAnsi="宋体" w:cs="仿宋_GB2312"/>
                <w:kern w:val="0"/>
                <w:sz w:val="22"/>
                <w:szCs w:val="22"/>
              </w:rPr>
            </w:pPr>
            <w:r>
              <w:rPr>
                <w:rFonts w:hint="eastAsia" w:ascii="宋体" w:hAnsi="宋体" w:cs="仿宋_GB2312"/>
                <w:kern w:val="0"/>
                <w:sz w:val="22"/>
                <w:szCs w:val="22"/>
              </w:rPr>
              <w:t>参加招标活动前三年内，没有违法和不良记录：自行承诺加盖公章和法人章（格式自拟）。</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ind w:left="72"/>
              <w:rPr>
                <w:rFonts w:ascii="宋体" w:hAnsi="宋体" w:cs="仿宋_GB2312"/>
                <w:kern w:val="0"/>
                <w:sz w:val="22"/>
                <w:szCs w:val="22"/>
              </w:rPr>
            </w:p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r>
      <w:tr>
        <w:tblPrEx>
          <w:tblCellMar>
            <w:top w:w="15" w:type="dxa"/>
            <w:left w:w="15" w:type="dxa"/>
            <w:bottom w:w="15" w:type="dxa"/>
            <w:right w:w="15" w:type="dxa"/>
          </w:tblCellMar>
        </w:tblPrEx>
        <w:trPr>
          <w:trHeight w:val="2200"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32"/>
                <w:szCs w:val="32"/>
              </w:rPr>
            </w:pPr>
            <w:r>
              <w:rPr>
                <w:rFonts w:hint="eastAsia" w:ascii="宋体" w:hAnsi="宋体" w:cs="仿宋_GB2312"/>
                <w:kern w:val="0"/>
                <w:sz w:val="32"/>
                <w:szCs w:val="32"/>
              </w:rPr>
              <w:t>4</w:t>
            </w:r>
          </w:p>
        </w:tc>
        <w:tc>
          <w:tcPr>
            <w:tcW w:w="689" w:type="dxa"/>
            <w:vMerge w:val="continue"/>
            <w:tcBorders>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22"/>
                <w:szCs w:val="22"/>
              </w:rPr>
            </w:pPr>
          </w:p>
        </w:tc>
        <w:tc>
          <w:tcPr>
            <w:tcW w:w="3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rPr>
                <w:rFonts w:hint="eastAsia" w:ascii="宋体" w:hAnsi="宋体" w:cs="仿宋_GB2312"/>
                <w:kern w:val="0"/>
                <w:sz w:val="22"/>
                <w:szCs w:val="22"/>
              </w:rPr>
            </w:pPr>
            <w:r>
              <w:rPr>
                <w:rFonts w:hint="eastAsia" w:ascii="宋体" w:hAnsi="宋体" w:cs="仿宋_GB2312"/>
                <w:kern w:val="0"/>
                <w:sz w:val="22"/>
                <w:szCs w:val="22"/>
              </w:rPr>
              <w:t>法律、行政法规规定的其他条件：“信用中国”查询的报告内无行政处罚信息和失信惩戒信息等企业不良信用信息资料，信用报告加盖公章。</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spacing w:line="460" w:lineRule="exact"/>
              <w:ind w:left="72"/>
              <w:rPr>
                <w:rFonts w:ascii="宋体" w:hAnsi="宋体" w:cs="仿宋_GB2312"/>
                <w:kern w:val="0"/>
                <w:sz w:val="22"/>
                <w:szCs w:val="22"/>
              </w:rPr>
            </w:p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r>
      <w:tr>
        <w:tblPrEx>
          <w:tblCellMar>
            <w:top w:w="15" w:type="dxa"/>
            <w:left w:w="15" w:type="dxa"/>
            <w:bottom w:w="15" w:type="dxa"/>
            <w:right w:w="15" w:type="dxa"/>
          </w:tblCellMar>
        </w:tblPrEx>
        <w:trPr>
          <w:trHeight w:val="1729" w:hRule="atLeast"/>
        </w:trPr>
        <w:tc>
          <w:tcPr>
            <w:tcW w:w="461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仿宋_GB2312"/>
                <w:kern w:val="0"/>
                <w:sz w:val="22"/>
                <w:szCs w:val="22"/>
              </w:rPr>
            </w:pPr>
            <w:r>
              <w:rPr>
                <w:rFonts w:hint="eastAsia" w:ascii="宋体" w:hAnsi="宋体" w:cs="仿宋_GB2312"/>
                <w:kern w:val="0"/>
                <w:sz w:val="22"/>
                <w:szCs w:val="22"/>
              </w:rPr>
              <w:t>审查结论</w:t>
            </w: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1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2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p>
        </w:tc>
        <w:tc>
          <w:tcPr>
            <w:tcW w:w="1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tc>
      </w:tr>
      <w:tr>
        <w:tblPrEx>
          <w:tblCellMar>
            <w:top w:w="15" w:type="dxa"/>
            <w:left w:w="15" w:type="dxa"/>
            <w:bottom w:w="15" w:type="dxa"/>
            <w:right w:w="15" w:type="dxa"/>
          </w:tblCellMar>
        </w:tblPrEx>
        <w:trPr>
          <w:trHeight w:val="1807" w:hRule="atLeast"/>
        </w:trPr>
        <w:tc>
          <w:tcPr>
            <w:tcW w:w="9335"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rPr>
            </w:pPr>
            <w:r>
              <w:rPr>
                <w:rFonts w:hint="eastAsia"/>
              </w:rPr>
              <w:t>备注:符合资格要求的打</w:t>
            </w:r>
            <w:r>
              <w:rPr>
                <w:rFonts w:ascii="Arial" w:hAnsi="Arial" w:cs="Arial"/>
              </w:rPr>
              <w:t>√</w:t>
            </w:r>
            <w:r>
              <w:rPr>
                <w:rFonts w:hint="eastAsia"/>
              </w:rPr>
              <w:t>，不符合资格要求的打</w:t>
            </w:r>
            <w:r>
              <w:rPr>
                <w:rFonts w:ascii="Arial" w:hAnsi="Arial" w:cs="Arial"/>
              </w:rPr>
              <w:t>×</w:t>
            </w:r>
            <w:r>
              <w:rPr>
                <w:rFonts w:hint="eastAsia"/>
              </w:rPr>
              <w:t>，资格要求全部符合的审查结论填通过，资格要求有一项不符合的审查结论填不通过，审查结论为不通过的投标视为无效标。</w:t>
            </w:r>
          </w:p>
        </w:tc>
      </w:tr>
    </w:tbl>
    <w:p>
      <w:pPr>
        <w:rPr>
          <w:rFonts w:hint="eastAsia" w:ascii="宋体" w:hAnsi="宋体" w:cs="宋体"/>
          <w:sz w:val="32"/>
          <w:szCs w:val="32"/>
        </w:rPr>
      </w:pPr>
    </w:p>
    <w:p>
      <w:pPr>
        <w:rPr>
          <w:rFonts w:hint="eastAsia" w:ascii="宋体" w:hAnsi="宋体" w:cs="宋体"/>
          <w:sz w:val="28"/>
          <w:szCs w:val="28"/>
        </w:rPr>
      </w:pPr>
      <w:r>
        <w:rPr>
          <w:rFonts w:hint="eastAsia" w:ascii="宋体" w:hAnsi="宋体" w:cs="宋体"/>
          <w:sz w:val="28"/>
          <w:szCs w:val="28"/>
        </w:rPr>
        <w:t>附件2：</w:t>
      </w:r>
    </w:p>
    <w:tbl>
      <w:tblPr>
        <w:tblStyle w:val="6"/>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2" w:type="dxa"/>
            <w:vMerge w:val="restart"/>
            <w:noWrap w:val="0"/>
            <w:vAlign w:val="center"/>
          </w:tcPr>
          <w:p>
            <w:pPr>
              <w:spacing w:line="400" w:lineRule="exact"/>
              <w:jc w:val="center"/>
              <w:rPr>
                <w:rFonts w:ascii="宋体" w:hAnsi="宋体"/>
              </w:rPr>
            </w:pPr>
            <w:r>
              <w:rPr>
                <w:rFonts w:hint="eastAsia" w:ascii="宋体" w:hAnsi="宋体"/>
                <w:sz w:val="24"/>
              </w:rPr>
              <w:t>评分因素</w:t>
            </w:r>
          </w:p>
        </w:tc>
        <w:tc>
          <w:tcPr>
            <w:tcW w:w="6418" w:type="dxa"/>
            <w:vMerge w:val="restart"/>
            <w:noWrap w:val="0"/>
            <w:vAlign w:val="center"/>
          </w:tcPr>
          <w:p>
            <w:pPr>
              <w:spacing w:line="400" w:lineRule="exact"/>
              <w:ind w:firstLine="1080" w:firstLineChars="450"/>
              <w:rPr>
                <w:rFonts w:ascii="宋体" w:hAnsi="宋体"/>
              </w:rPr>
            </w:pPr>
            <w:r>
              <w:rPr>
                <w:rFonts w:hint="eastAsia" w:ascii="宋体" w:hAnsi="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2" w:type="dxa"/>
            <w:vMerge w:val="continue"/>
            <w:noWrap w:val="0"/>
            <w:vAlign w:val="center"/>
          </w:tcPr>
          <w:p>
            <w:pPr>
              <w:spacing w:line="400" w:lineRule="exact"/>
              <w:jc w:val="center"/>
              <w:rPr>
                <w:rFonts w:ascii="宋体" w:hAnsi="宋体"/>
              </w:rPr>
            </w:pPr>
          </w:p>
        </w:tc>
        <w:tc>
          <w:tcPr>
            <w:tcW w:w="6418" w:type="dxa"/>
            <w:vMerge w:val="continue"/>
            <w:noWrap w:val="0"/>
            <w:vAlign w:val="center"/>
          </w:tcPr>
          <w:p>
            <w:pPr>
              <w:spacing w:line="400" w:lineRule="exact"/>
              <w:ind w:firstLine="525" w:firstLineChars="2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2002" w:type="dxa"/>
            <w:noWrap w:val="0"/>
            <w:vAlign w:val="center"/>
          </w:tcPr>
          <w:p>
            <w:pPr>
              <w:spacing w:line="400" w:lineRule="exact"/>
              <w:jc w:val="center"/>
              <w:rPr>
                <w:rFonts w:hint="eastAsia" w:ascii="宋体" w:hAnsi="宋体"/>
                <w:sz w:val="24"/>
              </w:rPr>
            </w:pPr>
            <w:r>
              <w:rPr>
                <w:rFonts w:hint="eastAsia" w:ascii="宋体" w:hAnsi="宋体"/>
                <w:sz w:val="24"/>
              </w:rPr>
              <w:t>投标报价</w:t>
            </w:r>
          </w:p>
          <w:p>
            <w:pPr>
              <w:spacing w:line="400" w:lineRule="exact"/>
              <w:jc w:val="center"/>
              <w:rPr>
                <w:rFonts w:ascii="宋体" w:hAnsi="宋体"/>
              </w:rPr>
            </w:pPr>
            <w:r>
              <w:rPr>
                <w:rFonts w:hint="eastAsia" w:ascii="宋体" w:hAnsi="宋体"/>
                <w:sz w:val="24"/>
              </w:rPr>
              <w:t>（20分）</w:t>
            </w:r>
          </w:p>
        </w:tc>
        <w:tc>
          <w:tcPr>
            <w:tcW w:w="6418" w:type="dxa"/>
            <w:noWrap w:val="0"/>
            <w:vAlign w:val="center"/>
          </w:tcPr>
          <w:p>
            <w:pPr>
              <w:keepNext w:val="0"/>
              <w:keepLines w:val="0"/>
              <w:widowControl/>
              <w:suppressLineNumbers w:val="0"/>
              <w:jc w:val="left"/>
              <w:rPr>
                <w:rFonts w:hint="eastAsia" w:ascii="宋体" w:hAnsi="宋体"/>
                <w:sz w:val="24"/>
                <w:lang w:eastAsia="zh-CN"/>
              </w:rPr>
            </w:pPr>
            <w:r>
              <w:rPr>
                <w:rFonts w:hint="eastAsia" w:ascii="宋体" w:hAnsi="宋体"/>
                <w:sz w:val="24"/>
                <w:lang w:eastAsia="zh-CN"/>
              </w:rPr>
              <w:t>本项目报价为包干含税价报价，报价最低者得分</w:t>
            </w:r>
            <w:r>
              <w:rPr>
                <w:rFonts w:hint="eastAsia" w:ascii="宋体" w:hAnsi="宋体"/>
                <w:sz w:val="24"/>
                <w:lang w:val="en-US" w:eastAsia="zh-CN"/>
              </w:rPr>
              <w:t>20</w:t>
            </w:r>
            <w:r>
              <w:rPr>
                <w:rFonts w:hint="eastAsia" w:ascii="宋体" w:hAnsi="宋体"/>
                <w:sz w:val="24"/>
                <w:lang w:eastAsia="zh-CN"/>
              </w:rPr>
              <w:t>分，报价第二低者得分</w:t>
            </w:r>
            <w:r>
              <w:rPr>
                <w:rFonts w:hint="eastAsia" w:ascii="宋体" w:hAnsi="宋体"/>
                <w:sz w:val="24"/>
                <w:lang w:val="en-US" w:eastAsia="zh-CN"/>
              </w:rPr>
              <w:t>18</w:t>
            </w:r>
            <w:r>
              <w:rPr>
                <w:rFonts w:hint="eastAsia" w:ascii="宋体" w:hAnsi="宋体"/>
                <w:sz w:val="24"/>
                <w:lang w:eastAsia="zh-CN"/>
              </w:rPr>
              <w:t>分，报价第三低者得分</w:t>
            </w:r>
            <w:r>
              <w:rPr>
                <w:rFonts w:hint="eastAsia" w:ascii="宋体" w:hAnsi="宋体"/>
                <w:sz w:val="24"/>
                <w:lang w:val="en-US" w:eastAsia="zh-CN"/>
              </w:rPr>
              <w:t>16</w:t>
            </w:r>
            <w:r>
              <w:rPr>
                <w:rFonts w:hint="eastAsia" w:ascii="宋体" w:hAnsi="宋体"/>
                <w:sz w:val="24"/>
                <w:lang w:eastAsia="zh-CN"/>
              </w:rPr>
              <w:t>分，报价排名每靠后一名扣</w:t>
            </w:r>
            <w:r>
              <w:rPr>
                <w:rFonts w:hint="eastAsia" w:ascii="宋体" w:hAnsi="宋体"/>
                <w:sz w:val="24"/>
                <w:lang w:val="en-US" w:eastAsia="zh-CN"/>
              </w:rPr>
              <w:t>2</w:t>
            </w:r>
            <w:r>
              <w:rPr>
                <w:rFonts w:hint="eastAsia" w:ascii="宋体" w:hAnsi="宋体"/>
                <w:sz w:val="24"/>
                <w:lang w:eastAsia="zh-CN"/>
              </w:rPr>
              <w:t>分，得分依次递减，扣完为止。</w:t>
            </w:r>
          </w:p>
          <w:p>
            <w:pPr>
              <w:spacing w:line="400" w:lineRule="exact"/>
              <w:jc w:val="left"/>
              <w:rPr>
                <w:rFonts w:ascii="宋体" w:hAnsi="宋体"/>
              </w:rPr>
            </w:pPr>
            <w:r>
              <w:rPr>
                <w:rFonts w:hint="eastAsia" w:ascii="宋体" w:hAnsi="宋体"/>
                <w:sz w:val="24"/>
                <w:lang w:eastAsia="zh-CN"/>
              </w:rPr>
              <w:t>注：投标报价经评标人员认定恶意低价报价的，取消其报价分。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002" w:type="dxa"/>
            <w:noWrap w:val="0"/>
            <w:vAlign w:val="center"/>
          </w:tcPr>
          <w:p>
            <w:pPr>
              <w:spacing w:line="400" w:lineRule="exact"/>
              <w:jc w:val="center"/>
              <w:rPr>
                <w:rFonts w:hint="eastAsia" w:ascii="宋体" w:hAnsi="宋体"/>
                <w:sz w:val="24"/>
              </w:rPr>
            </w:pPr>
            <w:r>
              <w:rPr>
                <w:rFonts w:hint="eastAsia" w:ascii="宋体" w:hAnsi="宋体"/>
                <w:sz w:val="24"/>
              </w:rPr>
              <w:t>服务方案</w:t>
            </w:r>
          </w:p>
          <w:p>
            <w:pPr>
              <w:spacing w:line="400" w:lineRule="exact"/>
              <w:jc w:val="center"/>
              <w:rPr>
                <w:rFonts w:ascii="宋体" w:hAnsi="宋体"/>
              </w:rPr>
            </w:pPr>
            <w:r>
              <w:rPr>
                <w:rFonts w:hint="eastAsia" w:ascii="宋体" w:hAnsi="宋体"/>
                <w:sz w:val="24"/>
              </w:rPr>
              <w:t>（30分）</w:t>
            </w:r>
          </w:p>
        </w:tc>
        <w:tc>
          <w:tcPr>
            <w:tcW w:w="6418" w:type="dxa"/>
            <w:noWrap w:val="0"/>
            <w:vAlign w:val="center"/>
          </w:tcPr>
          <w:p>
            <w:pPr>
              <w:rPr>
                <w:rFonts w:ascii="宋体" w:hAnsi="宋体"/>
              </w:rPr>
            </w:pPr>
            <w:r>
              <w:rPr>
                <w:rFonts w:hint="eastAsia" w:ascii="宋体" w:hAnsi="宋体"/>
                <w:sz w:val="24"/>
              </w:rPr>
              <w:t>从服务内容、方法、措施等服务方案的科学、合理性，对重点、难点及相关协调工作认识充分性等因素进行横向对比，评标人员根据投标文件编制与项目实际情况吻合程度的认定为依据计分，</w:t>
            </w:r>
            <w:bookmarkStart w:id="0" w:name="_GoBack"/>
            <w:bookmarkEnd w:id="0"/>
            <w:r>
              <w:rPr>
                <w:rFonts w:hint="eastAsia" w:ascii="宋体" w:hAnsi="宋体"/>
                <w:sz w:val="24"/>
              </w:rPr>
              <w:t>0～30分，缺项不得分。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2002" w:type="dxa"/>
            <w:noWrap w:val="0"/>
            <w:vAlign w:val="center"/>
          </w:tcPr>
          <w:p>
            <w:pPr>
              <w:spacing w:line="400" w:lineRule="exact"/>
              <w:jc w:val="center"/>
              <w:rPr>
                <w:rFonts w:hint="eastAsia" w:ascii="宋体" w:hAnsi="宋体"/>
                <w:sz w:val="24"/>
              </w:rPr>
            </w:pPr>
            <w:r>
              <w:rPr>
                <w:rFonts w:hint="eastAsia" w:ascii="宋体" w:hAnsi="宋体"/>
                <w:sz w:val="24"/>
              </w:rPr>
              <w:t>人员配置</w:t>
            </w:r>
          </w:p>
          <w:p>
            <w:pPr>
              <w:spacing w:line="400" w:lineRule="exact"/>
              <w:jc w:val="center"/>
              <w:rPr>
                <w:rFonts w:ascii="宋体" w:hAnsi="宋体"/>
                <w:sz w:val="24"/>
              </w:rPr>
            </w:pPr>
            <w:r>
              <w:rPr>
                <w:rFonts w:hint="eastAsia" w:ascii="宋体" w:hAnsi="宋体"/>
                <w:sz w:val="24"/>
              </w:rPr>
              <w:t>（20分）</w:t>
            </w:r>
          </w:p>
        </w:tc>
        <w:tc>
          <w:tcPr>
            <w:tcW w:w="6418" w:type="dxa"/>
            <w:noWrap w:val="0"/>
            <w:vAlign w:val="center"/>
          </w:tcPr>
          <w:p>
            <w:pPr>
              <w:rPr>
                <w:rFonts w:hint="eastAsia" w:ascii="宋体" w:hAnsi="宋体"/>
                <w:sz w:val="24"/>
              </w:rPr>
            </w:pPr>
            <w:r>
              <w:rPr>
                <w:rFonts w:hint="eastAsia" w:ascii="宋体" w:hAnsi="宋体"/>
                <w:sz w:val="24"/>
              </w:rPr>
              <w:t>项目负责人：必须具有高级职称，提供得10分，提供不全或不提供不得分。在此基础上每提供一个注册造价师得5分，最高10分。</w:t>
            </w:r>
          </w:p>
          <w:p>
            <w:pPr>
              <w:rPr>
                <w:rFonts w:ascii="宋体" w:hAnsi="宋体"/>
                <w:sz w:val="24"/>
              </w:rPr>
            </w:pPr>
            <w:r>
              <w:rPr>
                <w:rFonts w:hint="eastAsia" w:ascii="宋体" w:hAnsi="宋体"/>
                <w:sz w:val="24"/>
              </w:rPr>
              <w:t>注：提供资格证书、职称证书及近三个月社保缴纳证明（或劳动合同），复印件加盖公章。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2002" w:type="dxa"/>
            <w:noWrap w:val="0"/>
            <w:vAlign w:val="center"/>
          </w:tcPr>
          <w:p>
            <w:pPr>
              <w:spacing w:line="400" w:lineRule="exact"/>
              <w:jc w:val="center"/>
              <w:rPr>
                <w:rFonts w:hint="eastAsia" w:ascii="宋体" w:hAnsi="宋体"/>
                <w:sz w:val="24"/>
              </w:rPr>
            </w:pPr>
            <w:r>
              <w:rPr>
                <w:rFonts w:hint="eastAsia" w:ascii="宋体" w:hAnsi="宋体"/>
                <w:sz w:val="24"/>
              </w:rPr>
              <w:t>本地化服务能力（15分）</w:t>
            </w:r>
          </w:p>
        </w:tc>
        <w:tc>
          <w:tcPr>
            <w:tcW w:w="6418" w:type="dxa"/>
            <w:noWrap w:val="0"/>
            <w:vAlign w:val="center"/>
          </w:tcPr>
          <w:p>
            <w:pPr>
              <w:rPr>
                <w:rFonts w:hint="eastAsia" w:ascii="宋体" w:hAnsi="宋体"/>
                <w:color w:val="FF0000"/>
                <w:sz w:val="24"/>
              </w:rPr>
            </w:pPr>
            <w:r>
              <w:rPr>
                <w:rFonts w:hint="eastAsia" w:ascii="宋体" w:hAnsi="宋体"/>
                <w:sz w:val="24"/>
              </w:rPr>
              <w:t>承诺在项目实施期间，不更换项目负责人，承诺书加盖投标人公章且由拟派项目负责人签字。提供承诺的得1</w:t>
            </w:r>
            <w:r>
              <w:rPr>
                <w:rFonts w:hint="eastAsia" w:ascii="宋体" w:hAnsi="宋体"/>
                <w:sz w:val="24"/>
                <w:lang w:val="en-US" w:eastAsia="zh-CN"/>
              </w:rPr>
              <w:t>5</w:t>
            </w:r>
            <w:r>
              <w:rPr>
                <w:rFonts w:hint="eastAsia" w:ascii="宋体" w:hAnsi="宋体"/>
                <w:sz w:val="24"/>
              </w:rPr>
              <w:t>分，不提供或提供不完整的不得分。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002" w:type="dxa"/>
            <w:noWrap w:val="0"/>
            <w:vAlign w:val="center"/>
          </w:tcPr>
          <w:p>
            <w:pPr>
              <w:jc w:val="center"/>
              <w:rPr>
                <w:rFonts w:hint="eastAsia" w:ascii="宋体" w:hAnsi="宋体"/>
                <w:sz w:val="24"/>
              </w:rPr>
            </w:pPr>
            <w:r>
              <w:rPr>
                <w:rFonts w:hint="eastAsia" w:ascii="宋体" w:hAnsi="宋体"/>
                <w:sz w:val="24"/>
              </w:rPr>
              <w:t>企业业绩</w:t>
            </w:r>
          </w:p>
          <w:p>
            <w:pPr>
              <w:jc w:val="center"/>
              <w:rPr>
                <w:rFonts w:hint="eastAsia" w:ascii="宋体" w:hAnsi="宋体"/>
                <w:sz w:val="24"/>
              </w:rPr>
            </w:pPr>
            <w:r>
              <w:rPr>
                <w:rFonts w:hint="eastAsia" w:ascii="宋体" w:hAnsi="宋体"/>
                <w:sz w:val="24"/>
              </w:rPr>
              <w:t>（15分）</w:t>
            </w:r>
          </w:p>
        </w:tc>
        <w:tc>
          <w:tcPr>
            <w:tcW w:w="6418" w:type="dxa"/>
            <w:noWrap w:val="0"/>
            <w:vAlign w:val="center"/>
          </w:tcPr>
          <w:p>
            <w:pPr>
              <w:rPr>
                <w:rFonts w:hint="eastAsia" w:ascii="宋体" w:hAnsi="宋体"/>
                <w:sz w:val="24"/>
              </w:rPr>
            </w:pPr>
            <w:r>
              <w:rPr>
                <w:rFonts w:hint="eastAsia" w:ascii="宋体" w:hAnsi="宋体"/>
                <w:sz w:val="24"/>
              </w:rPr>
              <w:t>提供近两年以来的业绩，每提供一个业绩得5分，最高得分15分，提供合同为证明材料（合同内容必须包含造价咨询服务）。（复印件加盖公章）</w:t>
            </w:r>
          </w:p>
        </w:tc>
      </w:tr>
    </w:tbl>
    <w:p>
      <w:pPr>
        <w:rPr>
          <w:rFonts w:hint="eastAsia" w:ascii="宋体" w:hAnsi="宋体" w:cs="宋体"/>
          <w:sz w:val="32"/>
          <w:szCs w:val="32"/>
        </w:rPr>
      </w:pPr>
    </w:p>
    <w:p>
      <w:pPr>
        <w:rPr>
          <w:b/>
          <w:bCs/>
        </w:rPr>
      </w:pPr>
      <w:r>
        <w:rPr>
          <w:rFonts w:hint="eastAsia"/>
          <w:b/>
          <w:bCs/>
        </w:rPr>
        <w:t>注：中标后招标人将核查相关资料原件，所有资料须真实、有效，不得弄虚作假，否则承担相应的法律责任。</w:t>
      </w:r>
    </w:p>
    <w:p>
      <w:pPr>
        <w:rPr>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YWZiMjUxYzdiNGFjODMzN2VkYTYwOTM3Yjc0YWQifQ=="/>
  </w:docVars>
  <w:rsids>
    <w:rsidRoot w:val="32B86C48"/>
    <w:rsid w:val="00124609"/>
    <w:rsid w:val="001278A4"/>
    <w:rsid w:val="00606D2B"/>
    <w:rsid w:val="00656B66"/>
    <w:rsid w:val="00657AF9"/>
    <w:rsid w:val="00CE7366"/>
    <w:rsid w:val="00D01241"/>
    <w:rsid w:val="01C17ABA"/>
    <w:rsid w:val="029A3BD7"/>
    <w:rsid w:val="050E411D"/>
    <w:rsid w:val="08DB2E08"/>
    <w:rsid w:val="0A9E214B"/>
    <w:rsid w:val="0ADB39E6"/>
    <w:rsid w:val="0ADF00B9"/>
    <w:rsid w:val="0C646653"/>
    <w:rsid w:val="117847FE"/>
    <w:rsid w:val="13FD49F0"/>
    <w:rsid w:val="14D10FD8"/>
    <w:rsid w:val="15051099"/>
    <w:rsid w:val="17FB03CF"/>
    <w:rsid w:val="19350E24"/>
    <w:rsid w:val="1A1245F4"/>
    <w:rsid w:val="1CFD7165"/>
    <w:rsid w:val="1D65178C"/>
    <w:rsid w:val="1D8B36A5"/>
    <w:rsid w:val="1F2E7B2B"/>
    <w:rsid w:val="1FE347D8"/>
    <w:rsid w:val="20254CE5"/>
    <w:rsid w:val="20F21ADF"/>
    <w:rsid w:val="244D6A5C"/>
    <w:rsid w:val="271E7B5D"/>
    <w:rsid w:val="271F1C30"/>
    <w:rsid w:val="29855F46"/>
    <w:rsid w:val="2C9B1BE8"/>
    <w:rsid w:val="32B86C48"/>
    <w:rsid w:val="33830CA7"/>
    <w:rsid w:val="39B93B00"/>
    <w:rsid w:val="421D377C"/>
    <w:rsid w:val="449445E7"/>
    <w:rsid w:val="44F86DD9"/>
    <w:rsid w:val="47A12D15"/>
    <w:rsid w:val="47FD711B"/>
    <w:rsid w:val="4ADF45A3"/>
    <w:rsid w:val="4B786772"/>
    <w:rsid w:val="4B7E7036"/>
    <w:rsid w:val="4E9034A9"/>
    <w:rsid w:val="579B62DA"/>
    <w:rsid w:val="5AF4776F"/>
    <w:rsid w:val="5B756C9A"/>
    <w:rsid w:val="6337332F"/>
    <w:rsid w:val="636F3DEB"/>
    <w:rsid w:val="63F43D7C"/>
    <w:rsid w:val="681B14CA"/>
    <w:rsid w:val="6E3C585E"/>
    <w:rsid w:val="70337B0B"/>
    <w:rsid w:val="705F7F54"/>
    <w:rsid w:val="72BD5B63"/>
    <w:rsid w:val="75D13EF5"/>
    <w:rsid w:val="7603427D"/>
    <w:rsid w:val="77CB2BF1"/>
    <w:rsid w:val="7B6D3329"/>
    <w:rsid w:val="7C030BAC"/>
    <w:rsid w:val="7D42129B"/>
    <w:rsid w:val="7FBC51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841</Words>
  <Characters>860</Characters>
  <Lines>6</Lines>
  <Paragraphs>1</Paragraphs>
  <TotalTime>1</TotalTime>
  <ScaleCrop>false</ScaleCrop>
  <LinksUpToDate>false</LinksUpToDate>
  <CharactersWithSpaces>900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2023-06-27T07:41:00Z</dcterms:created>
  <dc:creator>风萧萧兮</dc:creator>
  <cp:lastModifiedBy>-旧鹿麋^ヅ`</cp:lastModifiedBy>
  <cp:lastPrinted>2023-06-29T07:54:39Z</cp:lastPrinted>
  <dcterms:modified xsi:type="dcterms:W3CDTF">2023-06-29T07:56:28Z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FBF547566EFA4FCCBD3066C3E29EC264_13</vt:lpwstr>
  </property>
</Properties>
</file>