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D7228A">
      <w:pPr>
        <w:ind w:firstLine="0" w:firstLineChars="0"/>
        <w:jc w:val="center"/>
        <w:rPr>
          <w:rFonts w:hint="eastAsia" w:ascii="方正小标宋简体" w:hAnsi="方正小标宋简体" w:eastAsia="方正小标宋简体" w:cs="方正小标宋简体"/>
          <w:b w:val="0"/>
          <w:bCs w:val="0"/>
          <w:sz w:val="44"/>
          <w:szCs w:val="44"/>
          <w:lang w:eastAsia="zh-Hans"/>
        </w:rPr>
      </w:pPr>
      <w:bookmarkStart w:id="0" w:name="OLE_LINK7"/>
      <w:bookmarkStart w:id="1" w:name="OLE_LINK6"/>
      <w:bookmarkStart w:id="2" w:name="OLE_LINK12"/>
      <w:r>
        <w:rPr>
          <w:rFonts w:hint="eastAsia" w:ascii="方正小标宋简体" w:hAnsi="方正小标宋简体" w:eastAsia="方正小标宋简体" w:cs="方正小标宋简体"/>
          <w:b w:val="0"/>
          <w:bCs w:val="0"/>
          <w:sz w:val="44"/>
          <w:szCs w:val="44"/>
        </w:rPr>
        <w:t>观山湖区长岭南路</w:t>
      </w:r>
      <w:bookmarkEnd w:id="0"/>
      <w:r>
        <w:rPr>
          <w:rFonts w:hint="eastAsia" w:ascii="方正小标宋简体" w:hAnsi="方正小标宋简体" w:eastAsia="方正小标宋简体" w:cs="方正小标宋简体"/>
          <w:b w:val="0"/>
          <w:bCs w:val="0"/>
          <w:sz w:val="44"/>
          <w:szCs w:val="44"/>
        </w:rPr>
        <w:t>市政公共资源有偿使用项目</w:t>
      </w:r>
      <w:bookmarkEnd w:id="1"/>
      <w:r>
        <w:rPr>
          <w:rFonts w:hint="eastAsia" w:ascii="方正小标宋简体" w:hAnsi="方正小标宋简体" w:eastAsia="方正小标宋简体" w:cs="方正小标宋简体"/>
          <w:b w:val="0"/>
          <w:bCs w:val="0"/>
          <w:sz w:val="44"/>
          <w:szCs w:val="44"/>
          <w:lang w:eastAsia="zh-Hans"/>
        </w:rPr>
        <w:t>公示</w:t>
      </w:r>
      <w:bookmarkEnd w:id="2"/>
    </w:p>
    <w:p w14:paraId="62672A4C">
      <w:pPr>
        <w:ind w:firstLine="640"/>
        <w:rPr>
          <w:rFonts w:hint="eastAsia" w:ascii="仿宋_GB2312" w:eastAsia="仿宋_GB2312"/>
          <w:b/>
          <w:bCs/>
        </w:rPr>
      </w:pPr>
    </w:p>
    <w:p w14:paraId="54FA0203">
      <w:pPr>
        <w:ind w:firstLine="640"/>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pPr>
      <w:r>
        <w:rPr>
          <w:rFonts w:hint="eastAsia" w:ascii="仿宋_GB2312" w:hAnsi="仿宋_GB2312" w:eastAsia="仿宋_GB2312" w:cs="仿宋_GB2312"/>
          <w:b w:val="0"/>
          <w:bCs w:val="0"/>
          <w:sz w:val="32"/>
          <w:szCs w:val="32"/>
        </w:rPr>
        <w:t>鉴于长岭南路两侧市政绿化用地现状已被部分社会企业占用改造为停车场及商业盒子，为促进辖区内市政公共资源有效利用，优化资源配置，</w:t>
      </w:r>
      <w:r>
        <w:rPr>
          <w:rFonts w:hint="eastAsia" w:ascii="仿宋_GB2312" w:hAnsi="仿宋_GB2312" w:eastAsia="仿宋_GB2312" w:cs="仿宋_GB2312"/>
          <w:b w:val="0"/>
          <w:bCs w:val="0"/>
          <w:sz w:val="32"/>
          <w:szCs w:val="32"/>
          <w:lang w:eastAsia="zh-Hans"/>
        </w:rPr>
        <w:t>贵阳</w:t>
      </w:r>
      <w:r>
        <w:rPr>
          <w:rFonts w:hint="eastAsia" w:ascii="仿宋_GB2312" w:hAnsi="仿宋_GB2312" w:eastAsia="仿宋_GB2312" w:cs="仿宋_GB2312"/>
          <w:b w:val="0"/>
          <w:bCs w:val="0"/>
          <w:sz w:val="32"/>
          <w:szCs w:val="32"/>
        </w:rPr>
        <w:t>市观山湖</w:t>
      </w:r>
      <w:r>
        <w:rPr>
          <w:rFonts w:hint="eastAsia" w:ascii="仿宋_GB2312" w:hAnsi="仿宋_GB2312" w:eastAsia="仿宋_GB2312" w:cs="仿宋_GB2312"/>
          <w:b w:val="0"/>
          <w:bCs w:val="0"/>
          <w:sz w:val="32"/>
          <w:szCs w:val="32"/>
          <w:lang w:eastAsia="zh-Hans"/>
        </w:rPr>
        <w:t>区</w:t>
      </w:r>
      <w:r>
        <w:rPr>
          <w:rFonts w:hint="eastAsia" w:ascii="仿宋_GB2312" w:hAnsi="仿宋_GB2312" w:eastAsia="仿宋_GB2312" w:cs="仿宋_GB2312"/>
          <w:b w:val="0"/>
          <w:bCs w:val="0"/>
          <w:sz w:val="32"/>
          <w:szCs w:val="32"/>
        </w:rPr>
        <w:t>拟实施观山湖区长岭南路市政公共资源有偿使用项目，现根据《市政公共资源有偿使用收入管理办法》“第十八条　市政公共资源管理部门应当履行下列职责：（一）公示市政公共资源有偿使用收入的收取依据、项目、对象、范围、标准、期限和方式等”的</w:t>
      </w:r>
      <w:r>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t>要求，对项目涉及相关信息进行公示，详见附件《</w:t>
      </w:r>
      <w:bookmarkStart w:id="3" w:name="OLE_LINK8"/>
      <w:r>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t>观山湖区长岭南路市政公共资源有偿使用项目公示内容</w:t>
      </w:r>
      <w:bookmarkEnd w:id="3"/>
      <w:r>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t>》。</w:t>
      </w:r>
    </w:p>
    <w:p w14:paraId="4348AC52">
      <w:pPr>
        <w:ind w:firstLine="640"/>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t>此次公示的时间为2025年11月21日至202</w:t>
      </w:r>
      <w:r>
        <w:rPr>
          <w:rFonts w:hint="eastAsia" w:ascii="仿宋_GB2312" w:hAnsi="仿宋_GB2312" w:eastAsia="仿宋_GB2312" w:cs="仿宋_GB2312"/>
          <w:b w:val="0"/>
          <w:bCs w:val="0"/>
          <w:color w:val="000000" w:themeColor="text1"/>
          <w:kern w:val="0"/>
          <w:sz w:val="32"/>
          <w:szCs w:val="32"/>
          <w:shd w:val="clear" w:color="auto" w:fill="FFFFFF"/>
          <w:lang w:val="en-US" w:eastAsia="zh-CN" w:bidi="ar"/>
          <w14:textFill>
            <w14:solidFill>
              <w14:schemeClr w14:val="tx1"/>
            </w14:solidFill>
          </w14:textFill>
        </w:rPr>
        <w:t>5</w:t>
      </w:r>
      <w:r>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t>年11月24日。</w:t>
      </w:r>
      <w:bookmarkStart w:id="5" w:name="_GoBack"/>
      <w:bookmarkEnd w:id="5"/>
    </w:p>
    <w:p w14:paraId="0FA9929F">
      <w:pPr>
        <w:ind w:firstLine="600"/>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pPr>
    </w:p>
    <w:p w14:paraId="7D3338C7">
      <w:pPr>
        <w:ind w:firstLine="600"/>
        <w:rPr>
          <w:rFonts w:hint="default" w:ascii="仿宋_GB2312" w:hAnsi="仿宋_GB2312" w:eastAsia="仿宋_GB2312" w:cs="仿宋_GB2312"/>
          <w:b w:val="0"/>
          <w:bCs w:val="0"/>
          <w:color w:val="000000" w:themeColor="text1"/>
          <w:kern w:val="0"/>
          <w:sz w:val="32"/>
          <w:szCs w:val="32"/>
          <w:shd w:val="clear" w:color="auto" w:fill="FFFFFF"/>
          <w:lang w:val="en-US" w:eastAsia="zh-CN" w:bidi="ar"/>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b w:val="0"/>
          <w:bCs w:val="0"/>
          <w:color w:val="000000" w:themeColor="text1"/>
          <w:kern w:val="0"/>
          <w:sz w:val="32"/>
          <w:szCs w:val="32"/>
          <w:shd w:val="clear" w:color="auto" w:fill="FFFFFF"/>
          <w:lang w:bidi="ar"/>
          <w14:textFill>
            <w14:solidFill>
              <w14:schemeClr w14:val="tx1"/>
            </w14:solidFill>
          </w14:textFill>
        </w:rPr>
        <w:t>联系电话：</w:t>
      </w:r>
      <w:r>
        <w:rPr>
          <w:rFonts w:hint="eastAsia" w:ascii="仿宋_GB2312" w:hAnsi="仿宋_GB2312" w:eastAsia="仿宋_GB2312" w:cs="仿宋_GB2312"/>
          <w:b w:val="0"/>
          <w:bCs w:val="0"/>
          <w:color w:val="000000" w:themeColor="text1"/>
          <w:kern w:val="0"/>
          <w:sz w:val="32"/>
          <w:szCs w:val="32"/>
          <w:shd w:val="clear" w:color="auto" w:fill="FFFFFF"/>
          <w:lang w:val="en-US" w:eastAsia="zh-CN" w:bidi="ar"/>
          <w14:textFill>
            <w14:solidFill>
              <w14:schemeClr w14:val="tx1"/>
            </w14:solidFill>
          </w14:textFill>
        </w:rPr>
        <w:t>0851-84850176</w:t>
      </w:r>
    </w:p>
    <w:p w14:paraId="31162A59">
      <w:pPr>
        <w:pStyle w:val="2"/>
        <w:ind w:firstLine="720"/>
        <w:jc w:val="center"/>
        <w:rPr>
          <w:rFonts w:ascii="Times New Roman" w:hAnsi="Times New Roman" w:eastAsia="华文仿宋"/>
          <w:b/>
          <w:bCs w:val="0"/>
          <w:sz w:val="36"/>
          <w:szCs w:val="36"/>
          <w:lang w:eastAsia="zh-Hans"/>
        </w:rPr>
      </w:pPr>
      <w:bookmarkStart w:id="4" w:name="OLE_LINK9"/>
      <w:r>
        <w:rPr>
          <w:rFonts w:hint="eastAsia"/>
          <w:bCs w:val="0"/>
          <w:color w:val="000000" w:themeColor="text1"/>
          <w:kern w:val="0"/>
          <w:sz w:val="36"/>
          <w:szCs w:val="36"/>
          <w:shd w:val="clear" w:color="auto" w:fill="FFFFFF"/>
          <w:lang w:bidi="ar"/>
          <w14:textFill>
            <w14:solidFill>
              <w14:schemeClr w14:val="tx1"/>
            </w14:solidFill>
          </w14:textFill>
        </w:rPr>
        <w:t>观山湖区长岭南路市政公共资源有偿使用项目</w:t>
      </w:r>
      <w:bookmarkEnd w:id="4"/>
      <w:r>
        <w:rPr>
          <w:rFonts w:hint="eastAsia"/>
          <w:bCs w:val="0"/>
          <w:color w:val="000000" w:themeColor="text1"/>
          <w:kern w:val="0"/>
          <w:sz w:val="36"/>
          <w:szCs w:val="36"/>
          <w:shd w:val="clear" w:color="auto" w:fill="FFFFFF"/>
          <w:lang w:bidi="ar"/>
          <w14:textFill>
            <w14:solidFill>
              <w14:schemeClr w14:val="tx1"/>
            </w14:solidFill>
          </w14:textFill>
        </w:rPr>
        <w:t>公示内容</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604"/>
        <w:gridCol w:w="3655"/>
        <w:gridCol w:w="5449"/>
        <w:gridCol w:w="2531"/>
      </w:tblGrid>
      <w:tr w14:paraId="2D3C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shd w:val="clear" w:color="auto" w:fill="E7E6E6" w:themeFill="background2"/>
            <w:vAlign w:val="center"/>
          </w:tcPr>
          <w:p w14:paraId="3A635C25">
            <w:pPr>
              <w:ind w:firstLine="0" w:firstLineChars="0"/>
              <w:jc w:val="center"/>
              <w:rPr>
                <w:rFonts w:ascii="仿宋_GB2312" w:eastAsia="仿宋_GB2312"/>
                <w:b/>
                <w:lang w:eastAsia="zh-Hans"/>
              </w:rPr>
            </w:pPr>
            <w:r>
              <w:rPr>
                <w:rFonts w:hint="eastAsia" w:ascii="仿宋_GB2312" w:eastAsia="仿宋_GB2312"/>
                <w:b/>
                <w:lang w:eastAsia="zh-Hans"/>
              </w:rPr>
              <w:t>序号</w:t>
            </w:r>
          </w:p>
        </w:tc>
        <w:tc>
          <w:tcPr>
            <w:tcW w:w="1856" w:type="pct"/>
            <w:gridSpan w:val="2"/>
            <w:shd w:val="clear" w:color="auto" w:fill="E7E6E6" w:themeFill="background2"/>
            <w:vAlign w:val="center"/>
          </w:tcPr>
          <w:p w14:paraId="10D2B9AE">
            <w:pPr>
              <w:ind w:firstLine="0" w:firstLineChars="0"/>
              <w:jc w:val="center"/>
              <w:rPr>
                <w:rFonts w:ascii="仿宋_GB2312" w:eastAsia="仿宋_GB2312"/>
                <w:b/>
                <w:lang w:eastAsia="zh-Hans"/>
              </w:rPr>
            </w:pPr>
            <w:r>
              <w:rPr>
                <w:rFonts w:hint="eastAsia" w:ascii="仿宋_GB2312" w:eastAsia="仿宋_GB2312"/>
                <w:b/>
              </w:rPr>
              <w:t>项目</w:t>
            </w:r>
          </w:p>
        </w:tc>
        <w:tc>
          <w:tcPr>
            <w:tcW w:w="1923" w:type="pct"/>
            <w:shd w:val="clear" w:color="auto" w:fill="E7E6E6" w:themeFill="background2"/>
            <w:vAlign w:val="center"/>
          </w:tcPr>
          <w:p w14:paraId="7F2A1190">
            <w:pPr>
              <w:ind w:firstLine="0" w:firstLineChars="0"/>
              <w:jc w:val="center"/>
              <w:rPr>
                <w:rFonts w:ascii="仿宋_GB2312" w:eastAsia="仿宋_GB2312"/>
                <w:b/>
              </w:rPr>
            </w:pPr>
            <w:r>
              <w:rPr>
                <w:rFonts w:hint="eastAsia" w:ascii="仿宋_GB2312" w:eastAsia="仿宋_GB2312"/>
                <w:b/>
              </w:rPr>
              <w:t>内容</w:t>
            </w:r>
          </w:p>
        </w:tc>
        <w:tc>
          <w:tcPr>
            <w:tcW w:w="893" w:type="pct"/>
            <w:shd w:val="clear" w:color="auto" w:fill="E7E6E6" w:themeFill="background2"/>
            <w:vAlign w:val="center"/>
          </w:tcPr>
          <w:p w14:paraId="0BF0BADA">
            <w:pPr>
              <w:ind w:firstLine="0" w:firstLineChars="0"/>
              <w:jc w:val="center"/>
              <w:rPr>
                <w:rFonts w:ascii="仿宋_GB2312" w:eastAsia="仿宋_GB2312"/>
                <w:b/>
                <w:lang w:eastAsia="zh-Hans"/>
              </w:rPr>
            </w:pPr>
            <w:r>
              <w:rPr>
                <w:rFonts w:hint="eastAsia" w:ascii="仿宋_GB2312" w:eastAsia="仿宋_GB2312"/>
                <w:b/>
                <w:lang w:eastAsia="zh-Hans"/>
              </w:rPr>
              <w:t>公示依据</w:t>
            </w:r>
          </w:p>
        </w:tc>
      </w:tr>
      <w:tr w14:paraId="7473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tcPr>
          <w:p w14:paraId="13C1E0FD">
            <w:pPr>
              <w:ind w:firstLine="0" w:firstLineChars="0"/>
              <w:jc w:val="center"/>
              <w:rPr>
                <w:rFonts w:ascii="仿宋_GB2312" w:eastAsia="仿宋_GB2312"/>
                <w:b/>
                <w:bCs/>
              </w:rPr>
            </w:pPr>
            <w:r>
              <w:rPr>
                <w:rFonts w:hint="eastAsia" w:ascii="仿宋_GB2312" w:eastAsia="仿宋_GB2312"/>
                <w:b/>
                <w:bCs/>
              </w:rPr>
              <w:t>1</w:t>
            </w:r>
          </w:p>
        </w:tc>
        <w:tc>
          <w:tcPr>
            <w:tcW w:w="566" w:type="pct"/>
          </w:tcPr>
          <w:p w14:paraId="0FE114EB">
            <w:pPr>
              <w:ind w:firstLine="0" w:firstLineChars="0"/>
              <w:rPr>
                <w:rFonts w:ascii="仿宋_GB2312" w:eastAsia="仿宋_GB2312"/>
                <w:b/>
                <w:bCs/>
              </w:rPr>
            </w:pPr>
            <w:r>
              <w:rPr>
                <w:rFonts w:hint="eastAsia" w:ascii="仿宋_GB2312" w:eastAsia="仿宋_GB2312"/>
                <w:b/>
                <w:bCs/>
              </w:rPr>
              <w:t>公示主体</w:t>
            </w:r>
          </w:p>
        </w:tc>
        <w:tc>
          <w:tcPr>
            <w:tcW w:w="1290" w:type="pct"/>
          </w:tcPr>
          <w:p w14:paraId="48EC2807">
            <w:pPr>
              <w:ind w:firstLine="0" w:firstLineChars="0"/>
              <w:rPr>
                <w:rFonts w:ascii="仿宋_GB2312" w:eastAsia="仿宋_GB2312"/>
                <w:b/>
                <w:bCs/>
                <w:lang w:eastAsia="zh-Hans"/>
              </w:rPr>
            </w:pPr>
            <w:r>
              <w:rPr>
                <w:rFonts w:hint="eastAsia" w:ascii="仿宋_GB2312" w:eastAsia="仿宋_GB2312"/>
                <w:b/>
                <w:bCs/>
                <w:lang w:eastAsia="zh-Hans"/>
              </w:rPr>
              <w:t>市政公共资源管理部门</w:t>
            </w:r>
          </w:p>
        </w:tc>
        <w:tc>
          <w:tcPr>
            <w:tcW w:w="1923" w:type="pct"/>
          </w:tcPr>
          <w:p w14:paraId="26C87846">
            <w:pPr>
              <w:ind w:firstLine="0" w:firstLineChars="0"/>
              <w:rPr>
                <w:rFonts w:ascii="仿宋_GB2312" w:eastAsia="仿宋_GB2312"/>
                <w:b/>
                <w:bCs/>
              </w:rPr>
            </w:pPr>
            <w:r>
              <w:rPr>
                <w:rFonts w:hint="eastAsia" w:ascii="仿宋_GB2312" w:eastAsia="仿宋_GB2312"/>
                <w:b/>
                <w:bCs/>
              </w:rPr>
              <w:t>贵阳市观山湖区综合行政执法局</w:t>
            </w:r>
          </w:p>
        </w:tc>
        <w:tc>
          <w:tcPr>
            <w:tcW w:w="893" w:type="pct"/>
            <w:vMerge w:val="restart"/>
          </w:tcPr>
          <w:p w14:paraId="73BAE633">
            <w:pPr>
              <w:ind w:firstLine="0" w:firstLineChars="0"/>
              <w:rPr>
                <w:rFonts w:ascii="仿宋_GB2312" w:eastAsia="仿宋_GB2312"/>
                <w:b/>
                <w:bCs/>
                <w:color w:val="000000" w:themeColor="text1"/>
                <w:kern w:val="0"/>
                <w:sz w:val="30"/>
                <w:szCs w:val="30"/>
                <w:shd w:val="clear" w:color="auto" w:fill="FFFFFF"/>
                <w:lang w:bidi="ar"/>
                <w14:textFill>
                  <w14:solidFill>
                    <w14:schemeClr w14:val="tx1"/>
                  </w14:solidFill>
                </w14:textFill>
              </w:rPr>
            </w:pP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市政公共资源有偿使用收入管理办法</w:t>
            </w: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“第十八条　市政公共资源管理部门应当履行下列职责：</w:t>
            </w:r>
          </w:p>
          <w:p w14:paraId="641E2B63">
            <w:pPr>
              <w:ind w:firstLine="0" w:firstLineChars="0"/>
              <w:rPr>
                <w:rFonts w:ascii="仿宋_GB2312" w:eastAsia="仿宋_GB2312"/>
              </w:rPr>
            </w:pP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（一）公示市政公共资源有偿使用收入的收取依据、项目、对象、范围、标准、期限和方式等”</w:t>
            </w:r>
          </w:p>
        </w:tc>
      </w:tr>
      <w:tr w14:paraId="1F59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Merge w:val="restart"/>
            <w:vAlign w:val="center"/>
          </w:tcPr>
          <w:p w14:paraId="0691C74A">
            <w:pPr>
              <w:ind w:firstLine="0" w:firstLineChars="0"/>
              <w:jc w:val="center"/>
              <w:rPr>
                <w:rFonts w:ascii="仿宋_GB2312" w:eastAsia="仿宋_GB2312"/>
                <w:b/>
                <w:bCs/>
              </w:rPr>
            </w:pPr>
            <w:r>
              <w:rPr>
                <w:rFonts w:hint="eastAsia" w:ascii="仿宋_GB2312" w:eastAsia="仿宋_GB2312"/>
                <w:b/>
                <w:bCs/>
              </w:rPr>
              <w:t>2</w:t>
            </w:r>
          </w:p>
        </w:tc>
        <w:tc>
          <w:tcPr>
            <w:tcW w:w="566" w:type="pct"/>
            <w:vMerge w:val="restart"/>
            <w:vAlign w:val="center"/>
          </w:tcPr>
          <w:p w14:paraId="21970746">
            <w:pPr>
              <w:ind w:firstLine="0" w:firstLineChars="0"/>
              <w:jc w:val="center"/>
              <w:rPr>
                <w:rFonts w:ascii="仿宋_GB2312" w:eastAsia="仿宋_GB2312"/>
                <w:b/>
                <w:bCs/>
              </w:rPr>
            </w:pPr>
            <w:r>
              <w:rPr>
                <w:rFonts w:hint="eastAsia" w:ascii="仿宋_GB2312" w:eastAsia="仿宋_GB2312"/>
                <w:b/>
                <w:bCs/>
              </w:rPr>
              <w:t>公示内容</w:t>
            </w:r>
          </w:p>
        </w:tc>
        <w:tc>
          <w:tcPr>
            <w:tcW w:w="1290" w:type="pct"/>
            <w:vAlign w:val="center"/>
          </w:tcPr>
          <w:p w14:paraId="39FED468">
            <w:pPr>
              <w:ind w:firstLine="0" w:firstLineChars="0"/>
              <w:jc w:val="center"/>
              <w:rPr>
                <w:rFonts w:ascii="仿宋_GB2312" w:eastAsia="仿宋_GB2312"/>
                <w:b/>
                <w:bCs/>
                <w:lang w:eastAsia="zh-Hans"/>
              </w:rPr>
            </w:pPr>
            <w:r>
              <w:rPr>
                <w:rFonts w:hint="eastAsia" w:ascii="仿宋_GB2312" w:eastAsia="仿宋_GB2312"/>
                <w:b/>
                <w:bCs/>
              </w:rPr>
              <w:t>市政公共资源有偿使用收入的收取依据</w:t>
            </w:r>
          </w:p>
        </w:tc>
        <w:tc>
          <w:tcPr>
            <w:tcW w:w="1923" w:type="pct"/>
          </w:tcPr>
          <w:p w14:paraId="00277AAB">
            <w:pPr>
              <w:ind w:firstLine="0" w:firstLineChars="0"/>
              <w:rPr>
                <w:rFonts w:ascii="仿宋_GB2312" w:eastAsia="仿宋_GB2312"/>
                <w:b/>
                <w:bCs/>
                <w:color w:val="000000" w:themeColor="text1"/>
                <w:kern w:val="0"/>
                <w:sz w:val="30"/>
                <w:szCs w:val="30"/>
                <w:shd w:val="clear" w:color="auto" w:fill="FFFFFF"/>
                <w:lang w:bidi="ar"/>
                <w14:textFill>
                  <w14:solidFill>
                    <w14:schemeClr w14:val="tx1"/>
                  </w14:solidFill>
                </w14:textFill>
              </w:rPr>
            </w:pP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《市政公共资源有偿使用</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收入</w:t>
            </w: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管理办法》</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“第四条政府可以充分提供，能够保障公众普遍公平使用的市政公共资源应当免费使用。</w:t>
            </w:r>
          </w:p>
          <w:p w14:paraId="0599A048">
            <w:pPr>
              <w:ind w:firstLine="0" w:firstLineChars="0"/>
              <w:rPr>
                <w:rFonts w:ascii="仿宋_GB2312" w:eastAsia="仿宋_GB2312"/>
                <w:b/>
                <w:bCs/>
                <w:color w:val="000000" w:themeColor="text1"/>
                <w:kern w:val="0"/>
                <w:sz w:val="30"/>
                <w:szCs w:val="30"/>
                <w:shd w:val="clear" w:color="auto" w:fill="FFFFFF"/>
                <w:lang w:bidi="ar"/>
                <w14:textFill>
                  <w14:solidFill>
                    <w14:schemeClr w14:val="tx1"/>
                  </w14:solidFill>
                </w14:textFill>
              </w:rPr>
            </w:pP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资源相对稀缺、不能充分提供的，或者主要由部分社会公众使用的市政公共资源可以有偿使用。法律、法规另有规定的，从其规定。”</w:t>
            </w:r>
          </w:p>
        </w:tc>
        <w:tc>
          <w:tcPr>
            <w:tcW w:w="893" w:type="pct"/>
            <w:vMerge w:val="continue"/>
          </w:tcPr>
          <w:p w14:paraId="71A6996F">
            <w:pPr>
              <w:ind w:firstLine="0" w:firstLineChars="0"/>
              <w:rPr>
                <w:rFonts w:ascii="仿宋_GB2312" w:eastAsia="仿宋_GB2312"/>
                <w:color w:val="000000" w:themeColor="text1"/>
                <w:kern w:val="0"/>
                <w:sz w:val="30"/>
                <w:szCs w:val="30"/>
                <w:shd w:val="clear" w:color="auto" w:fill="FFFFFF"/>
                <w:lang w:eastAsia="zh-Hans" w:bidi="ar"/>
                <w14:textFill>
                  <w14:solidFill>
                    <w14:schemeClr w14:val="tx1"/>
                  </w14:solidFill>
                </w14:textFill>
              </w:rPr>
            </w:pPr>
          </w:p>
        </w:tc>
      </w:tr>
      <w:tr w14:paraId="5F61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Merge w:val="continue"/>
            <w:vAlign w:val="center"/>
          </w:tcPr>
          <w:p w14:paraId="3CA51E7E">
            <w:pPr>
              <w:ind w:firstLine="0" w:firstLineChars="0"/>
              <w:jc w:val="center"/>
              <w:rPr>
                <w:rFonts w:ascii="仿宋_GB2312" w:eastAsia="仿宋_GB2312"/>
                <w:b/>
                <w:bCs/>
              </w:rPr>
            </w:pPr>
          </w:p>
        </w:tc>
        <w:tc>
          <w:tcPr>
            <w:tcW w:w="566" w:type="pct"/>
            <w:vMerge w:val="continue"/>
            <w:vAlign w:val="center"/>
          </w:tcPr>
          <w:p w14:paraId="258FAD61">
            <w:pPr>
              <w:ind w:firstLine="0" w:firstLineChars="0"/>
              <w:jc w:val="center"/>
              <w:rPr>
                <w:rFonts w:ascii="仿宋_GB2312" w:eastAsia="仿宋_GB2312"/>
                <w:b/>
                <w:bCs/>
                <w:lang w:eastAsia="zh-Hans"/>
              </w:rPr>
            </w:pPr>
          </w:p>
        </w:tc>
        <w:tc>
          <w:tcPr>
            <w:tcW w:w="1290" w:type="pct"/>
            <w:vAlign w:val="center"/>
          </w:tcPr>
          <w:p w14:paraId="13FB2168">
            <w:pPr>
              <w:ind w:firstLine="0" w:firstLineChars="0"/>
              <w:jc w:val="center"/>
              <w:rPr>
                <w:rFonts w:ascii="仿宋_GB2312" w:eastAsia="仿宋_GB2312"/>
                <w:b/>
                <w:bCs/>
                <w:lang w:eastAsia="zh-Hans"/>
              </w:rPr>
            </w:pPr>
            <w:r>
              <w:rPr>
                <w:rFonts w:hint="eastAsia" w:ascii="仿宋_GB2312" w:eastAsia="仿宋_GB2312"/>
                <w:b/>
                <w:bCs/>
              </w:rPr>
              <w:t>市政公共资源有偿使用收入的收取项目</w:t>
            </w:r>
          </w:p>
        </w:tc>
        <w:tc>
          <w:tcPr>
            <w:tcW w:w="1923" w:type="pct"/>
          </w:tcPr>
          <w:p w14:paraId="243D4AFB">
            <w:pPr>
              <w:ind w:firstLine="0" w:firstLineChars="0"/>
              <w:rPr>
                <w:rFonts w:ascii="仿宋_GB2312" w:eastAsia="仿宋_GB2312"/>
                <w:b/>
                <w:bCs/>
                <w:color w:val="000000" w:themeColor="text1"/>
                <w:kern w:val="0"/>
                <w:sz w:val="30"/>
                <w:szCs w:val="30"/>
                <w:shd w:val="clear" w:color="auto" w:fill="FFFFFF"/>
                <w:lang w:bidi="ar"/>
                <w14:textFill>
                  <w14:solidFill>
                    <w14:schemeClr w14:val="tx1"/>
                  </w14:solidFill>
                </w14:textFill>
              </w:rPr>
            </w:pP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观山湖区长岭南路市政公共资源有偿使用项目</w:t>
            </w:r>
          </w:p>
        </w:tc>
        <w:tc>
          <w:tcPr>
            <w:tcW w:w="893" w:type="pct"/>
            <w:vMerge w:val="continue"/>
          </w:tcPr>
          <w:p w14:paraId="5E723B80">
            <w:pPr>
              <w:ind w:firstLine="0" w:firstLineChars="0"/>
              <w:rPr>
                <w:rFonts w:ascii="仿宋_GB2312" w:eastAsia="仿宋_GB2312"/>
                <w:color w:val="000000" w:themeColor="text1"/>
                <w:kern w:val="0"/>
                <w:sz w:val="30"/>
                <w:szCs w:val="30"/>
                <w:shd w:val="clear" w:color="auto" w:fill="FFFFFF"/>
                <w:lang w:eastAsia="zh-Hans" w:bidi="ar"/>
                <w14:textFill>
                  <w14:solidFill>
                    <w14:schemeClr w14:val="tx1"/>
                  </w14:solidFill>
                </w14:textFill>
              </w:rPr>
            </w:pPr>
          </w:p>
        </w:tc>
      </w:tr>
      <w:tr w14:paraId="55AA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Merge w:val="continue"/>
            <w:vAlign w:val="center"/>
          </w:tcPr>
          <w:p w14:paraId="3A70E7AA">
            <w:pPr>
              <w:ind w:firstLine="0" w:firstLineChars="0"/>
              <w:jc w:val="center"/>
              <w:rPr>
                <w:rFonts w:ascii="仿宋_GB2312" w:eastAsia="仿宋_GB2312"/>
                <w:b/>
                <w:bCs/>
              </w:rPr>
            </w:pPr>
          </w:p>
        </w:tc>
        <w:tc>
          <w:tcPr>
            <w:tcW w:w="566" w:type="pct"/>
            <w:vMerge w:val="continue"/>
            <w:vAlign w:val="center"/>
          </w:tcPr>
          <w:p w14:paraId="187438D5">
            <w:pPr>
              <w:ind w:firstLine="0" w:firstLineChars="0"/>
              <w:jc w:val="center"/>
              <w:rPr>
                <w:rFonts w:ascii="仿宋_GB2312" w:eastAsia="仿宋_GB2312"/>
                <w:b/>
                <w:bCs/>
                <w:lang w:eastAsia="zh-Hans"/>
              </w:rPr>
            </w:pPr>
          </w:p>
        </w:tc>
        <w:tc>
          <w:tcPr>
            <w:tcW w:w="1290" w:type="pct"/>
            <w:vAlign w:val="center"/>
          </w:tcPr>
          <w:p w14:paraId="3DB4EF36">
            <w:pPr>
              <w:ind w:firstLine="0" w:firstLineChars="0"/>
              <w:jc w:val="center"/>
              <w:rPr>
                <w:rFonts w:ascii="仿宋_GB2312" w:eastAsia="仿宋_GB2312"/>
                <w:b/>
                <w:bCs/>
                <w:lang w:eastAsia="zh-Hans"/>
              </w:rPr>
            </w:pPr>
            <w:r>
              <w:rPr>
                <w:rFonts w:hint="eastAsia" w:ascii="仿宋_GB2312" w:eastAsia="仿宋_GB2312"/>
                <w:b/>
                <w:bCs/>
              </w:rPr>
              <w:t>市政公共资源有偿使用收入的收取对象</w:t>
            </w:r>
          </w:p>
        </w:tc>
        <w:tc>
          <w:tcPr>
            <w:tcW w:w="1923" w:type="pct"/>
          </w:tcPr>
          <w:p w14:paraId="6149CE6C">
            <w:pPr>
              <w:ind w:firstLine="0" w:firstLineChars="0"/>
              <w:rPr>
                <w:rFonts w:ascii="仿宋_GB2312" w:eastAsia="仿宋_GB2312"/>
                <w:b/>
                <w:bCs/>
                <w:color w:val="000000" w:themeColor="text1"/>
                <w:kern w:val="0"/>
                <w:sz w:val="30"/>
                <w:szCs w:val="30"/>
                <w:shd w:val="clear" w:color="auto" w:fill="FFFFFF"/>
                <w:lang w:eastAsia="zh-Hans" w:bidi="ar"/>
                <w14:textFill>
                  <w14:solidFill>
                    <w14:schemeClr w14:val="tx1"/>
                  </w14:solidFill>
                </w14:textFill>
              </w:rPr>
            </w:pPr>
            <w:r>
              <w:rPr>
                <w:rFonts w:hint="eastAsia" w:ascii="仿宋_GB2312" w:eastAsia="仿宋_GB2312"/>
                <w:b/>
                <w:bCs/>
              </w:rPr>
              <w:t>市政公共资源有偿使用受让方，采取公开招标、拍卖等公平竞争方式确定</w:t>
            </w:r>
          </w:p>
        </w:tc>
        <w:tc>
          <w:tcPr>
            <w:tcW w:w="893" w:type="pct"/>
            <w:vMerge w:val="continue"/>
          </w:tcPr>
          <w:p w14:paraId="6780DCF9">
            <w:pPr>
              <w:ind w:firstLine="0" w:firstLineChars="0"/>
              <w:rPr>
                <w:rFonts w:ascii="仿宋_GB2312" w:eastAsia="仿宋_GB2312"/>
                <w:color w:val="000000" w:themeColor="text1"/>
                <w:kern w:val="0"/>
                <w:sz w:val="30"/>
                <w:szCs w:val="30"/>
                <w:shd w:val="clear" w:color="auto" w:fill="FFFFFF"/>
                <w:lang w:eastAsia="zh-Hans" w:bidi="ar"/>
                <w14:textFill>
                  <w14:solidFill>
                    <w14:schemeClr w14:val="tx1"/>
                  </w14:solidFill>
                </w14:textFill>
              </w:rPr>
            </w:pPr>
          </w:p>
        </w:tc>
      </w:tr>
      <w:tr w14:paraId="696B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Merge w:val="continue"/>
            <w:vAlign w:val="center"/>
          </w:tcPr>
          <w:p w14:paraId="7D2E24DA">
            <w:pPr>
              <w:ind w:firstLine="0" w:firstLineChars="0"/>
              <w:jc w:val="center"/>
              <w:rPr>
                <w:rFonts w:ascii="仿宋_GB2312" w:eastAsia="仿宋_GB2312"/>
                <w:b/>
                <w:bCs/>
              </w:rPr>
            </w:pPr>
          </w:p>
        </w:tc>
        <w:tc>
          <w:tcPr>
            <w:tcW w:w="566" w:type="pct"/>
            <w:vMerge w:val="continue"/>
            <w:vAlign w:val="center"/>
          </w:tcPr>
          <w:p w14:paraId="6E48A94B">
            <w:pPr>
              <w:ind w:firstLine="0" w:firstLineChars="0"/>
              <w:jc w:val="center"/>
              <w:rPr>
                <w:rFonts w:ascii="仿宋_GB2312" w:eastAsia="仿宋_GB2312"/>
                <w:b/>
                <w:bCs/>
                <w:lang w:eastAsia="zh-Hans"/>
              </w:rPr>
            </w:pPr>
          </w:p>
        </w:tc>
        <w:tc>
          <w:tcPr>
            <w:tcW w:w="1290" w:type="pct"/>
            <w:vAlign w:val="center"/>
          </w:tcPr>
          <w:p w14:paraId="749383E0">
            <w:pPr>
              <w:ind w:firstLine="0" w:firstLineChars="0"/>
              <w:jc w:val="center"/>
              <w:rPr>
                <w:rFonts w:ascii="仿宋_GB2312" w:eastAsia="仿宋_GB2312"/>
                <w:b/>
                <w:bCs/>
                <w:lang w:eastAsia="zh-Hans"/>
              </w:rPr>
            </w:pPr>
            <w:r>
              <w:rPr>
                <w:rFonts w:hint="eastAsia" w:ascii="仿宋_GB2312" w:eastAsia="仿宋_GB2312"/>
                <w:b/>
                <w:bCs/>
              </w:rPr>
              <w:t>市政公共资源有偿使用收入的收取范围</w:t>
            </w:r>
          </w:p>
        </w:tc>
        <w:tc>
          <w:tcPr>
            <w:tcW w:w="1923" w:type="pct"/>
          </w:tcPr>
          <w:p w14:paraId="5A371C4A">
            <w:pPr>
              <w:ind w:firstLine="0" w:firstLineChars="0"/>
              <w:rPr>
                <w:rFonts w:ascii="仿宋_GB2312" w:eastAsia="仿宋_GB2312"/>
                <w:b/>
                <w:bCs/>
                <w:color w:val="000000" w:themeColor="text1"/>
                <w:kern w:val="0"/>
                <w:sz w:val="30"/>
                <w:szCs w:val="30"/>
                <w:shd w:val="clear" w:color="auto" w:fill="FFFFFF"/>
                <w:lang w:eastAsia="zh-Hans" w:bidi="ar"/>
                <w14:textFill>
                  <w14:solidFill>
                    <w14:schemeClr w14:val="tx1"/>
                  </w14:solidFill>
                </w14:textFill>
              </w:rPr>
            </w:pPr>
            <w:r>
              <w:rPr>
                <w:rFonts w:hint="eastAsia" w:ascii="仿宋_GB2312" w:eastAsia="仿宋_GB2312"/>
                <w:b/>
                <w:bCs/>
              </w:rPr>
              <w:t>长岭南路两侧的市政公共绿化用地，具体范围见附件。</w:t>
            </w:r>
          </w:p>
        </w:tc>
        <w:tc>
          <w:tcPr>
            <w:tcW w:w="893" w:type="pct"/>
            <w:vMerge w:val="continue"/>
          </w:tcPr>
          <w:p w14:paraId="0F451CBA">
            <w:pPr>
              <w:ind w:firstLine="0" w:firstLineChars="0"/>
              <w:rPr>
                <w:rFonts w:ascii="仿宋_GB2312" w:eastAsia="仿宋_GB2312"/>
                <w:color w:val="000000" w:themeColor="text1"/>
                <w:kern w:val="0"/>
                <w:sz w:val="30"/>
                <w:szCs w:val="30"/>
                <w:shd w:val="clear" w:color="auto" w:fill="FFFFFF"/>
                <w:lang w:eastAsia="zh-Hans" w:bidi="ar"/>
                <w14:textFill>
                  <w14:solidFill>
                    <w14:schemeClr w14:val="tx1"/>
                  </w14:solidFill>
                </w14:textFill>
              </w:rPr>
            </w:pPr>
          </w:p>
        </w:tc>
      </w:tr>
      <w:tr w14:paraId="5A3F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Merge w:val="continue"/>
            <w:vAlign w:val="center"/>
          </w:tcPr>
          <w:p w14:paraId="6453AF20">
            <w:pPr>
              <w:ind w:firstLine="0" w:firstLineChars="0"/>
              <w:jc w:val="center"/>
              <w:rPr>
                <w:rFonts w:ascii="仿宋_GB2312" w:eastAsia="仿宋_GB2312"/>
                <w:b/>
                <w:bCs/>
              </w:rPr>
            </w:pPr>
          </w:p>
        </w:tc>
        <w:tc>
          <w:tcPr>
            <w:tcW w:w="566" w:type="pct"/>
            <w:vMerge w:val="continue"/>
            <w:vAlign w:val="center"/>
          </w:tcPr>
          <w:p w14:paraId="79725336">
            <w:pPr>
              <w:ind w:firstLine="0" w:firstLineChars="0"/>
              <w:jc w:val="center"/>
              <w:rPr>
                <w:rFonts w:ascii="仿宋_GB2312" w:eastAsia="仿宋_GB2312"/>
                <w:b/>
                <w:bCs/>
                <w:lang w:eastAsia="zh-Hans"/>
              </w:rPr>
            </w:pPr>
          </w:p>
        </w:tc>
        <w:tc>
          <w:tcPr>
            <w:tcW w:w="1290" w:type="pct"/>
            <w:vAlign w:val="center"/>
          </w:tcPr>
          <w:p w14:paraId="31EF30BC">
            <w:pPr>
              <w:ind w:firstLine="0" w:firstLineChars="0"/>
              <w:jc w:val="center"/>
              <w:rPr>
                <w:rFonts w:ascii="仿宋_GB2312" w:eastAsia="仿宋_GB2312"/>
                <w:b/>
                <w:bCs/>
                <w:lang w:eastAsia="zh-Hans"/>
              </w:rPr>
            </w:pPr>
            <w:r>
              <w:rPr>
                <w:rFonts w:hint="eastAsia" w:ascii="仿宋_GB2312" w:eastAsia="仿宋_GB2312"/>
                <w:b/>
                <w:bCs/>
              </w:rPr>
              <w:t>市政公共资源有偿使用收入的收取标准</w:t>
            </w:r>
          </w:p>
        </w:tc>
        <w:tc>
          <w:tcPr>
            <w:tcW w:w="1923" w:type="pct"/>
          </w:tcPr>
          <w:p w14:paraId="402D6859">
            <w:pPr>
              <w:ind w:firstLine="0" w:firstLineChars="0"/>
              <w:rPr>
                <w:rFonts w:ascii="仿宋_GB2312" w:eastAsia="仿宋_GB2312"/>
                <w:b/>
                <w:bCs/>
                <w:color w:val="000000" w:themeColor="text1"/>
                <w:kern w:val="0"/>
                <w:sz w:val="30"/>
                <w:szCs w:val="30"/>
                <w:shd w:val="clear" w:color="auto" w:fill="FFFFFF"/>
                <w:lang w:bidi="ar"/>
                <w14:textFill>
                  <w14:solidFill>
                    <w14:schemeClr w14:val="tx1"/>
                  </w14:solidFill>
                </w14:textFill>
              </w:rPr>
            </w:pP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根据贵州辰宇房地产土地资产评估有限公司出具的《贵阳市观山湖区综合行政执法局拟出让公共资源有偿使用权涉及的观山湖区长岭南路市政公共资源20年有偿使用权市场价值资产评估报告》（筑辰资评字(2025)第1129号）及</w:t>
            </w:r>
            <w:r>
              <w:rPr>
                <w:rFonts w:hint="eastAsia" w:ascii="仿宋_GB2312" w:eastAsia="仿宋_GB2312"/>
                <w:b/>
                <w:bCs/>
              </w:rPr>
              <w:t>市政公共资源有偿使用受让方投标报价确定。资产评估报告</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评估值</w:t>
            </w:r>
            <w:r>
              <w:rPr>
                <w:rFonts w:ascii="仿宋_GB2312" w:eastAsia="仿宋_GB2312"/>
                <w:b/>
                <w:bCs/>
                <w:color w:val="000000" w:themeColor="text1"/>
                <w:kern w:val="0"/>
                <w:sz w:val="30"/>
                <w:szCs w:val="30"/>
                <w:shd w:val="clear" w:color="auto" w:fill="FFFFFF"/>
                <w:lang w:bidi="ar"/>
                <w14:textFill>
                  <w14:solidFill>
                    <w14:schemeClr w14:val="tx1"/>
                  </w14:solidFill>
                </w14:textFill>
              </w:rPr>
              <w:t>3,060.59</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万元为竞价下限，最终以</w:t>
            </w:r>
            <w:r>
              <w:rPr>
                <w:rFonts w:hint="eastAsia" w:ascii="仿宋_GB2312" w:eastAsia="仿宋_GB2312"/>
                <w:b/>
                <w:bCs/>
              </w:rPr>
              <w:t>市政公共资源有偿使用受让方的</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投标报价为准。</w:t>
            </w:r>
          </w:p>
        </w:tc>
        <w:tc>
          <w:tcPr>
            <w:tcW w:w="893" w:type="pct"/>
            <w:vMerge w:val="continue"/>
          </w:tcPr>
          <w:p w14:paraId="2909062F">
            <w:pPr>
              <w:ind w:firstLine="0" w:firstLineChars="0"/>
              <w:rPr>
                <w:rFonts w:ascii="仿宋_GB2312" w:eastAsia="仿宋_GB2312"/>
                <w:color w:val="000000" w:themeColor="text1"/>
                <w:kern w:val="0"/>
                <w:sz w:val="30"/>
                <w:szCs w:val="30"/>
                <w:shd w:val="clear" w:color="auto" w:fill="FFFFFF"/>
                <w:lang w:eastAsia="zh-Hans" w:bidi="ar"/>
                <w14:textFill>
                  <w14:solidFill>
                    <w14:schemeClr w14:val="tx1"/>
                  </w14:solidFill>
                </w14:textFill>
              </w:rPr>
            </w:pPr>
          </w:p>
        </w:tc>
      </w:tr>
      <w:tr w14:paraId="72B5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Merge w:val="continue"/>
            <w:vAlign w:val="center"/>
          </w:tcPr>
          <w:p w14:paraId="3F5B3CFA">
            <w:pPr>
              <w:ind w:firstLine="0" w:firstLineChars="0"/>
              <w:jc w:val="center"/>
              <w:rPr>
                <w:rFonts w:ascii="仿宋_GB2312" w:eastAsia="仿宋_GB2312"/>
                <w:b/>
                <w:bCs/>
              </w:rPr>
            </w:pPr>
          </w:p>
        </w:tc>
        <w:tc>
          <w:tcPr>
            <w:tcW w:w="566" w:type="pct"/>
            <w:vMerge w:val="continue"/>
            <w:vAlign w:val="center"/>
          </w:tcPr>
          <w:p w14:paraId="2A3F0A61">
            <w:pPr>
              <w:ind w:firstLine="0" w:firstLineChars="0"/>
              <w:jc w:val="center"/>
              <w:rPr>
                <w:rFonts w:ascii="仿宋_GB2312" w:eastAsia="仿宋_GB2312"/>
                <w:b/>
                <w:bCs/>
                <w:lang w:eastAsia="zh-Hans"/>
              </w:rPr>
            </w:pPr>
          </w:p>
        </w:tc>
        <w:tc>
          <w:tcPr>
            <w:tcW w:w="1290" w:type="pct"/>
            <w:vAlign w:val="center"/>
          </w:tcPr>
          <w:p w14:paraId="4F7DF09F">
            <w:pPr>
              <w:ind w:firstLine="0" w:firstLineChars="0"/>
              <w:jc w:val="center"/>
              <w:rPr>
                <w:rFonts w:ascii="仿宋_GB2312" w:eastAsia="仿宋_GB2312"/>
                <w:b/>
                <w:bCs/>
                <w:lang w:eastAsia="zh-Hans"/>
              </w:rPr>
            </w:pPr>
            <w:r>
              <w:rPr>
                <w:rFonts w:hint="eastAsia" w:ascii="仿宋_GB2312" w:eastAsia="仿宋_GB2312"/>
                <w:b/>
                <w:bCs/>
              </w:rPr>
              <w:t>市政公共资源有偿使用收入的收取期限</w:t>
            </w:r>
          </w:p>
        </w:tc>
        <w:tc>
          <w:tcPr>
            <w:tcW w:w="1923" w:type="pct"/>
          </w:tcPr>
          <w:p w14:paraId="2D84E53F">
            <w:pPr>
              <w:ind w:firstLine="0" w:firstLineChars="0"/>
              <w:rPr>
                <w:rFonts w:ascii="仿宋_GB2312" w:eastAsia="仿宋_GB2312"/>
                <w:b/>
                <w:bCs/>
                <w:color w:val="000000" w:themeColor="text1"/>
                <w:kern w:val="0"/>
                <w:sz w:val="30"/>
                <w:szCs w:val="30"/>
                <w:shd w:val="clear" w:color="auto" w:fill="FFFFFF"/>
                <w:lang w:bidi="ar"/>
                <w14:textFill>
                  <w14:solidFill>
                    <w14:schemeClr w14:val="tx1"/>
                  </w14:solidFill>
                </w14:textFill>
              </w:rPr>
            </w:pPr>
            <w:r>
              <w:rPr>
                <w:rFonts w:hint="eastAsia" w:ascii="仿宋_GB2312" w:eastAsia="仿宋_GB2312"/>
                <w:b/>
                <w:bCs/>
              </w:rPr>
              <w:t>市政公共资源有偿使用期限为</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20年</w:t>
            </w:r>
          </w:p>
        </w:tc>
        <w:tc>
          <w:tcPr>
            <w:tcW w:w="893" w:type="pct"/>
            <w:vMerge w:val="continue"/>
          </w:tcPr>
          <w:p w14:paraId="5E5B616D">
            <w:pPr>
              <w:ind w:firstLine="0" w:firstLineChars="0"/>
              <w:rPr>
                <w:rFonts w:ascii="仿宋_GB2312" w:eastAsia="仿宋_GB2312"/>
                <w:color w:val="000000" w:themeColor="text1"/>
                <w:kern w:val="0"/>
                <w:sz w:val="30"/>
                <w:szCs w:val="30"/>
                <w:shd w:val="clear" w:color="auto" w:fill="FFFFFF"/>
                <w:lang w:eastAsia="zh-Hans" w:bidi="ar"/>
                <w14:textFill>
                  <w14:solidFill>
                    <w14:schemeClr w14:val="tx1"/>
                  </w14:solidFill>
                </w14:textFill>
              </w:rPr>
            </w:pPr>
          </w:p>
        </w:tc>
      </w:tr>
      <w:tr w14:paraId="1C63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Merge w:val="continue"/>
            <w:vAlign w:val="center"/>
          </w:tcPr>
          <w:p w14:paraId="353BD44B">
            <w:pPr>
              <w:ind w:firstLine="0" w:firstLineChars="0"/>
              <w:jc w:val="center"/>
              <w:rPr>
                <w:rFonts w:ascii="仿宋_GB2312" w:eastAsia="仿宋_GB2312"/>
                <w:b/>
                <w:bCs/>
              </w:rPr>
            </w:pPr>
          </w:p>
        </w:tc>
        <w:tc>
          <w:tcPr>
            <w:tcW w:w="566" w:type="pct"/>
            <w:vMerge w:val="continue"/>
            <w:vAlign w:val="center"/>
          </w:tcPr>
          <w:p w14:paraId="534BFF36">
            <w:pPr>
              <w:ind w:firstLine="0" w:firstLineChars="0"/>
              <w:jc w:val="center"/>
              <w:rPr>
                <w:rFonts w:ascii="仿宋_GB2312" w:eastAsia="仿宋_GB2312"/>
                <w:b/>
                <w:bCs/>
                <w:lang w:eastAsia="zh-Hans"/>
              </w:rPr>
            </w:pPr>
          </w:p>
        </w:tc>
        <w:tc>
          <w:tcPr>
            <w:tcW w:w="1290" w:type="pct"/>
            <w:vAlign w:val="center"/>
          </w:tcPr>
          <w:p w14:paraId="258A9CC6">
            <w:pPr>
              <w:ind w:firstLine="0" w:firstLineChars="0"/>
              <w:jc w:val="center"/>
              <w:rPr>
                <w:rFonts w:ascii="仿宋_GB2312" w:eastAsia="仿宋_GB2312"/>
                <w:b/>
                <w:bCs/>
                <w:lang w:eastAsia="zh-Hans"/>
              </w:rPr>
            </w:pPr>
            <w:r>
              <w:rPr>
                <w:rFonts w:hint="eastAsia" w:ascii="仿宋_GB2312" w:eastAsia="仿宋_GB2312"/>
                <w:b/>
                <w:bCs/>
              </w:rPr>
              <w:t>市政公共资源有偿使用收入的收取方式</w:t>
            </w:r>
          </w:p>
        </w:tc>
        <w:tc>
          <w:tcPr>
            <w:tcW w:w="1923" w:type="pct"/>
          </w:tcPr>
          <w:p w14:paraId="51AD2FD2">
            <w:pPr>
              <w:ind w:firstLine="0" w:firstLineChars="0"/>
              <w:rPr>
                <w:rFonts w:ascii="仿宋_GB2312" w:eastAsia="仿宋_GB2312"/>
                <w:b/>
                <w:bCs/>
                <w:color w:val="000000" w:themeColor="text1"/>
                <w:kern w:val="0"/>
                <w:sz w:val="30"/>
                <w:szCs w:val="30"/>
                <w:shd w:val="clear" w:color="auto" w:fill="FFFFFF"/>
                <w:lang w:eastAsia="zh-Hans" w:bidi="ar"/>
                <w14:textFill>
                  <w14:solidFill>
                    <w14:schemeClr w14:val="tx1"/>
                  </w14:solidFill>
                </w14:textFill>
              </w:rPr>
            </w:pPr>
            <w:r>
              <w:rPr>
                <w:rFonts w:hint="eastAsia" w:ascii="仿宋_GB2312" w:eastAsia="仿宋_GB2312"/>
                <w:b/>
                <w:bCs/>
              </w:rPr>
              <w:t>市政公共资源有偿使用</w:t>
            </w: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受让方与</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贵阳市观山湖区综合行政执法局</w:t>
            </w: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签订《市政公共资源有偿使用协议》后</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，由</w:t>
            </w:r>
            <w:r>
              <w:rPr>
                <w:rFonts w:hint="eastAsia" w:ascii="仿宋_GB2312" w:eastAsia="仿宋_GB2312"/>
                <w:b/>
                <w:bCs/>
              </w:rPr>
              <w:t>市政公共资源有偿使用</w:t>
            </w: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受让方向</w:t>
            </w:r>
            <w:r>
              <w:rPr>
                <w:rFonts w:hint="eastAsia" w:ascii="仿宋_GB2312" w:eastAsia="仿宋_GB2312"/>
                <w:b/>
                <w:bCs/>
                <w:color w:val="000000" w:themeColor="text1"/>
                <w:kern w:val="0"/>
                <w:sz w:val="30"/>
                <w:szCs w:val="30"/>
                <w:shd w:val="clear" w:color="auto" w:fill="FFFFFF"/>
                <w:lang w:bidi="ar"/>
                <w14:textFill>
                  <w14:solidFill>
                    <w14:schemeClr w14:val="tx1"/>
                  </w14:solidFill>
                </w14:textFill>
              </w:rPr>
              <w:t>贵阳市观山湖区综合行政执法局</w:t>
            </w:r>
            <w:r>
              <w:rPr>
                <w:rFonts w:hint="eastAsia" w:ascii="仿宋_GB2312" w:eastAsia="仿宋_GB2312"/>
                <w:b/>
                <w:bCs/>
                <w:color w:val="000000" w:themeColor="text1"/>
                <w:kern w:val="0"/>
                <w:sz w:val="30"/>
                <w:szCs w:val="30"/>
                <w:shd w:val="clear" w:color="auto" w:fill="FFFFFF"/>
                <w:lang w:eastAsia="zh-Hans" w:bidi="ar"/>
                <w14:textFill>
                  <w14:solidFill>
                    <w14:schemeClr w14:val="tx1"/>
                  </w14:solidFill>
                </w14:textFill>
              </w:rPr>
              <w:t>支付全额市政公共资源有偿使用费</w:t>
            </w:r>
          </w:p>
        </w:tc>
        <w:tc>
          <w:tcPr>
            <w:tcW w:w="893" w:type="pct"/>
            <w:vMerge w:val="continue"/>
          </w:tcPr>
          <w:p w14:paraId="7C106799">
            <w:pPr>
              <w:ind w:firstLine="0" w:firstLineChars="0"/>
              <w:rPr>
                <w:rFonts w:ascii="仿宋_GB2312" w:eastAsia="仿宋_GB2312"/>
                <w:color w:val="000000" w:themeColor="text1"/>
                <w:kern w:val="0"/>
                <w:sz w:val="30"/>
                <w:szCs w:val="30"/>
                <w:shd w:val="clear" w:color="auto" w:fill="FFFFFF"/>
                <w:lang w:eastAsia="zh-Hans" w:bidi="ar"/>
                <w14:textFill>
                  <w14:solidFill>
                    <w14:schemeClr w14:val="tx1"/>
                  </w14:solidFill>
                </w14:textFill>
              </w:rPr>
            </w:pPr>
          </w:p>
        </w:tc>
      </w:tr>
    </w:tbl>
    <w:p w14:paraId="290FF741">
      <w:pPr>
        <w:ind w:firstLine="640"/>
        <w:rPr>
          <w:lang w:eastAsia="zh-Hans"/>
        </w:rPr>
        <w:sectPr>
          <w:pgSz w:w="16838" w:h="11906" w:orient="landscape"/>
          <w:pgMar w:top="1800" w:right="1440" w:bottom="1800" w:left="1440" w:header="851" w:footer="992" w:gutter="0"/>
          <w:cols w:space="425" w:num="1"/>
          <w:docGrid w:type="lines" w:linePitch="312" w:charSpace="0"/>
        </w:sectPr>
      </w:pPr>
    </w:p>
    <w:p w14:paraId="648D33CE">
      <w:pPr>
        <w:ind w:firstLine="0" w:firstLineChars="0"/>
        <w:rPr>
          <w:rFonts w:eastAsia="黑体"/>
          <w:b/>
          <w:bCs/>
        </w:rPr>
      </w:pPr>
      <w:r>
        <w:rPr>
          <w:rFonts w:eastAsia="黑体"/>
          <w:b/>
          <w:bCs/>
        </w:rPr>
        <w:t>附</w:t>
      </w:r>
      <w:r>
        <w:rPr>
          <w:rFonts w:hint="eastAsia" w:eastAsia="黑体"/>
          <w:b/>
          <w:bCs/>
        </w:rPr>
        <w:t>件</w:t>
      </w:r>
    </w:p>
    <w:p w14:paraId="180952B6">
      <w:pPr>
        <w:ind w:firstLine="640"/>
      </w:pPr>
      <w: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8734425" cy="2133600"/>
            <wp:effectExtent l="0" t="0" r="0" b="0"/>
            <wp:wrapNone/>
            <wp:docPr id="1067661104" name="图片 1" descr="建筑的摆设布局&#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61104" name="图片 1" descr="建筑的摆设布局&#10;&#10;AI 生成的内容可能不正确。"/>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755005" cy="2138683"/>
                    </a:xfrm>
                    <a:prstGeom prst="rect">
                      <a:avLst/>
                    </a:prstGeom>
                  </pic:spPr>
                </pic:pic>
              </a:graphicData>
            </a:graphic>
          </wp:anchor>
        </w:drawing>
      </w:r>
    </w:p>
    <w:p w14:paraId="30B1D11E">
      <w:pPr>
        <w:ind w:firstLine="640"/>
      </w:pPr>
    </w:p>
    <w:p w14:paraId="30B04870">
      <w:pPr>
        <w:ind w:firstLine="643"/>
        <w:rPr>
          <w:b/>
          <w:szCs w:val="32"/>
        </w:rPr>
      </w:pPr>
    </w:p>
    <w:p w14:paraId="4CA98612">
      <w:pPr>
        <w:ind w:firstLine="643"/>
        <w:rPr>
          <w:b/>
          <w:szCs w:val="32"/>
        </w:rPr>
      </w:pPr>
    </w:p>
    <w:p w14:paraId="7B724E4F">
      <w:pPr>
        <w:ind w:firstLine="643"/>
        <w:rPr>
          <w:b/>
          <w:szCs w:val="32"/>
        </w:rPr>
      </w:pPr>
    </w:p>
    <w:p w14:paraId="238DFFD7">
      <w:pPr>
        <w:ind w:firstLine="643"/>
        <w:rPr>
          <w:b/>
          <w:szCs w:val="32"/>
        </w:rPr>
      </w:pPr>
    </w:p>
    <w:p w14:paraId="686BC869">
      <w:pPr>
        <w:ind w:firstLine="643"/>
        <w:jc w:val="center"/>
        <w:rPr>
          <w:b/>
          <w:szCs w:val="32"/>
        </w:rPr>
      </w:pPr>
      <w:r>
        <w:rPr>
          <w:rFonts w:hint="eastAsia"/>
          <w:b/>
          <w:szCs w:val="32"/>
        </w:rPr>
        <w:t>项目涉及的市政公共资源范围示意图</w:t>
      </w:r>
    </w:p>
    <w:sectPr>
      <w:pgSz w:w="16838" w:h="11906" w:orient="landscape"/>
      <w:pgMar w:top="1800" w:right="1440" w:bottom="1800" w:left="144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D2EAE">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B13F2">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75D82">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A592E">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B8AB3">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BA03C">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2MzUwMmRhNDk4MmIyMDA1NmM1ODU0ZWY5OWQ0MDYifQ=="/>
  </w:docVars>
  <w:rsids>
    <w:rsidRoot w:val="00172A27"/>
    <w:rsid w:val="000F3794"/>
    <w:rsid w:val="00145FC8"/>
    <w:rsid w:val="00172A27"/>
    <w:rsid w:val="003D52AB"/>
    <w:rsid w:val="004A0AFE"/>
    <w:rsid w:val="006B08B9"/>
    <w:rsid w:val="0083437D"/>
    <w:rsid w:val="0087395F"/>
    <w:rsid w:val="00B56868"/>
    <w:rsid w:val="00CD41DB"/>
    <w:rsid w:val="00CF36D7"/>
    <w:rsid w:val="00D4586A"/>
    <w:rsid w:val="00F26924"/>
    <w:rsid w:val="06750873"/>
    <w:rsid w:val="17A0140C"/>
    <w:rsid w:val="195A4F50"/>
    <w:rsid w:val="1CAD289B"/>
    <w:rsid w:val="1CEC5D65"/>
    <w:rsid w:val="1EDB762C"/>
    <w:rsid w:val="232402E6"/>
    <w:rsid w:val="32EE540A"/>
    <w:rsid w:val="3FE98C4D"/>
    <w:rsid w:val="43CE0544"/>
    <w:rsid w:val="443546A8"/>
    <w:rsid w:val="45EF279C"/>
    <w:rsid w:val="4CFD5BD2"/>
    <w:rsid w:val="4D6159A5"/>
    <w:rsid w:val="4FB46852"/>
    <w:rsid w:val="50B71292"/>
    <w:rsid w:val="533F76CC"/>
    <w:rsid w:val="5C3F18E4"/>
    <w:rsid w:val="5C472C31"/>
    <w:rsid w:val="60680A3A"/>
    <w:rsid w:val="6B534390"/>
    <w:rsid w:val="74B749BB"/>
    <w:rsid w:val="7B4D1832"/>
    <w:rsid w:val="7CDC082B"/>
    <w:rsid w:val="7DD345AE"/>
    <w:rsid w:val="7F62204B"/>
    <w:rsid w:val="7F7D8491"/>
    <w:rsid w:val="7F8F6365"/>
    <w:rsid w:val="FBF7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 w:cs="Times New Roman"/>
      <w:snapToGrid w:val="0"/>
      <w:kern w:val="2"/>
      <w:sz w:val="32"/>
      <w:szCs w:val="22"/>
      <w:lang w:val="en-US" w:eastAsia="zh-CN" w:bidi="ar-SA"/>
    </w:rPr>
  </w:style>
  <w:style w:type="paragraph" w:styleId="2">
    <w:name w:val="heading 2"/>
    <w:basedOn w:val="1"/>
    <w:next w:val="1"/>
    <w:qFormat/>
    <w:uiPriority w:val="0"/>
    <w:pPr>
      <w:keepNext/>
      <w:keepLines/>
      <w:outlineLvl w:val="1"/>
    </w:pPr>
    <w:rPr>
      <w:rFonts w:ascii="等线 Light" w:hAnsi="等线 Light" w:eastAsia="黑体"/>
      <w:bCs/>
      <w:szCs w:val="32"/>
    </w:rPr>
  </w:style>
  <w:style w:type="paragraph" w:styleId="3">
    <w:name w:val="heading 3"/>
    <w:basedOn w:val="1"/>
    <w:next w:val="1"/>
    <w:unhideWhenUsed/>
    <w:qFormat/>
    <w:uiPriority w:val="0"/>
    <w:pPr>
      <w:keepNext/>
      <w:keepLines/>
      <w:spacing w:before="260" w:after="260" w:line="413" w:lineRule="auto"/>
      <w:outlineLvl w:val="2"/>
    </w:pPr>
    <w:rPr>
      <w:b/>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ind w:firstLine="0" w:firstLineChars="0"/>
      <w:jc w:val="left"/>
    </w:pPr>
  </w:style>
  <w:style w:type="paragraph" w:styleId="5">
    <w:name w:val="footer"/>
    <w:basedOn w:val="1"/>
    <w:link w:val="21"/>
    <w:qFormat/>
    <w:uiPriority w:val="0"/>
    <w:pPr>
      <w:tabs>
        <w:tab w:val="center" w:pos="4153"/>
        <w:tab w:val="right" w:pos="8306"/>
      </w:tabs>
      <w:snapToGrid w:val="0"/>
      <w:spacing w:line="240" w:lineRule="atLeast"/>
      <w:jc w:val="left"/>
    </w:pPr>
    <w:rPr>
      <w:sz w:val="18"/>
      <w:szCs w:val="18"/>
    </w:rPr>
  </w:style>
  <w:style w:type="paragraph" w:styleId="6">
    <w:name w:val="header"/>
    <w:basedOn w:val="1"/>
    <w:link w:val="20"/>
    <w:qFormat/>
    <w:uiPriority w:val="0"/>
    <w:pPr>
      <w:tabs>
        <w:tab w:val="center" w:pos="4153"/>
        <w:tab w:val="right" w:pos="8306"/>
      </w:tabs>
      <w:snapToGrid w:val="0"/>
      <w:spacing w:line="240" w:lineRule="atLeast"/>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font91"/>
    <w:basedOn w:val="10"/>
    <w:qFormat/>
    <w:uiPriority w:val="0"/>
    <w:rPr>
      <w:rFonts w:ascii="宋体" w:hAnsi="宋体" w:eastAsia="宋体" w:cs="宋体"/>
      <w:color w:val="000000"/>
      <w:sz w:val="48"/>
      <w:szCs w:val="48"/>
      <w:u w:val="none"/>
    </w:rPr>
  </w:style>
  <w:style w:type="character" w:customStyle="1" w:styleId="12">
    <w:name w:val="font101"/>
    <w:basedOn w:val="10"/>
    <w:qFormat/>
    <w:uiPriority w:val="0"/>
    <w:rPr>
      <w:rFonts w:ascii="宋体" w:hAnsi="宋体" w:eastAsia="宋体" w:cs="宋体"/>
      <w:b/>
      <w:bCs/>
      <w:color w:val="000000"/>
      <w:sz w:val="48"/>
      <w:szCs w:val="48"/>
      <w:u w:val="none"/>
    </w:rPr>
  </w:style>
  <w:style w:type="character" w:customStyle="1" w:styleId="13">
    <w:name w:val="font111"/>
    <w:basedOn w:val="10"/>
    <w:qFormat/>
    <w:uiPriority w:val="0"/>
    <w:rPr>
      <w:rFonts w:ascii="Arial" w:hAnsi="Arial" w:cs="Arial"/>
      <w:color w:val="000000"/>
      <w:sz w:val="6"/>
      <w:szCs w:val="6"/>
      <w:u w:val="none"/>
    </w:rPr>
  </w:style>
  <w:style w:type="character" w:customStyle="1" w:styleId="14">
    <w:name w:val="font122"/>
    <w:basedOn w:val="10"/>
    <w:qFormat/>
    <w:uiPriority w:val="0"/>
    <w:rPr>
      <w:rFonts w:hint="default" w:ascii="Arial" w:hAnsi="Arial" w:cs="Arial"/>
      <w:color w:val="000000"/>
      <w:sz w:val="7"/>
      <w:szCs w:val="7"/>
      <w:u w:val="none"/>
    </w:rPr>
  </w:style>
  <w:style w:type="character" w:customStyle="1" w:styleId="15">
    <w:name w:val="font131"/>
    <w:basedOn w:val="10"/>
    <w:qFormat/>
    <w:uiPriority w:val="0"/>
    <w:rPr>
      <w:rFonts w:ascii="宋体" w:hAnsi="宋体" w:eastAsia="宋体" w:cs="宋体"/>
      <w:b/>
      <w:bCs/>
      <w:color w:val="000000"/>
      <w:sz w:val="46"/>
      <w:szCs w:val="46"/>
      <w:u w:val="none"/>
    </w:rPr>
  </w:style>
  <w:style w:type="character" w:customStyle="1" w:styleId="16">
    <w:name w:val="font61"/>
    <w:basedOn w:val="10"/>
    <w:qFormat/>
    <w:uiPriority w:val="0"/>
    <w:rPr>
      <w:rFonts w:hint="default" w:ascii="Times New Roman" w:hAnsi="Times New Roman" w:cs="Times New Roman"/>
      <w:b/>
      <w:bCs/>
      <w:color w:val="000000"/>
      <w:sz w:val="48"/>
      <w:szCs w:val="48"/>
      <w:u w:val="none"/>
    </w:rPr>
  </w:style>
  <w:style w:type="character" w:customStyle="1" w:styleId="17">
    <w:name w:val="font21"/>
    <w:basedOn w:val="10"/>
    <w:qFormat/>
    <w:uiPriority w:val="0"/>
    <w:rPr>
      <w:rFonts w:hint="eastAsia" w:ascii="仿宋" w:hAnsi="仿宋" w:eastAsia="仿宋" w:cs="仿宋"/>
      <w:b/>
      <w:bCs/>
      <w:color w:val="000000"/>
      <w:sz w:val="48"/>
      <w:szCs w:val="48"/>
      <w:u w:val="none"/>
    </w:rPr>
  </w:style>
  <w:style w:type="character" w:customStyle="1" w:styleId="18">
    <w:name w:val="font41"/>
    <w:basedOn w:val="10"/>
    <w:qFormat/>
    <w:uiPriority w:val="0"/>
    <w:rPr>
      <w:rFonts w:hint="default" w:ascii="Times New Roman" w:hAnsi="Times New Roman" w:cs="Times New Roman"/>
      <w:color w:val="000000"/>
      <w:sz w:val="48"/>
      <w:szCs w:val="48"/>
      <w:u w:val="none"/>
    </w:rPr>
  </w:style>
  <w:style w:type="character" w:customStyle="1" w:styleId="19">
    <w:name w:val="font11"/>
    <w:basedOn w:val="10"/>
    <w:qFormat/>
    <w:uiPriority w:val="0"/>
    <w:rPr>
      <w:rFonts w:hint="eastAsia" w:ascii="仿宋" w:hAnsi="仿宋" w:eastAsia="仿宋" w:cs="仿宋"/>
      <w:color w:val="000000"/>
      <w:sz w:val="48"/>
      <w:szCs w:val="48"/>
      <w:u w:val="none"/>
    </w:rPr>
  </w:style>
  <w:style w:type="character" w:customStyle="1" w:styleId="20">
    <w:name w:val="页眉 字符"/>
    <w:basedOn w:val="10"/>
    <w:link w:val="6"/>
    <w:qFormat/>
    <w:uiPriority w:val="0"/>
    <w:rPr>
      <w:rFonts w:eastAsia="仿宋"/>
      <w:snapToGrid w:val="0"/>
      <w:kern w:val="2"/>
      <w:sz w:val="18"/>
      <w:szCs w:val="18"/>
    </w:rPr>
  </w:style>
  <w:style w:type="character" w:customStyle="1" w:styleId="21">
    <w:name w:val="页脚 字符"/>
    <w:basedOn w:val="10"/>
    <w:link w:val="5"/>
    <w:qFormat/>
    <w:uiPriority w:val="0"/>
    <w:rPr>
      <w:rFonts w:eastAsia="仿宋"/>
      <w:snapToGrid w:val="0"/>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1023</Words>
  <Characters>1062</Characters>
  <Lines>25</Lines>
  <Paragraphs>24</Paragraphs>
  <TotalTime>6</TotalTime>
  <ScaleCrop>false</ScaleCrop>
  <LinksUpToDate>false</LinksUpToDate>
  <CharactersWithSpaces>1064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2025-11-19T09:07:00Z</dcterms:created>
  <dc:creator>shaw</dc:creator>
  <cp:lastModifiedBy>观山湖区人民政府单位管理员</cp:lastModifiedBy>
  <dcterms:modified xsi:type="dcterms:W3CDTF">2025-11-20T06:47:00Z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D360C7C0F5B74ACF820193596572FCC5_13</vt:lpwstr>
  </property>
  <property fmtid="{D5CDD505-2E9C-101B-9397-08002B2CF9AE}" pid="4" name="KSOTemplateDocerSaveRecord">
    <vt:lpwstr>eyJoZGlkIjoiZDQxNjNmYmY0YWNkN2FkZDhlM2QyMDkwM2Y3ZWQ3YzYiLCJ1c2VySWQiOiI1Mzk4MDA1NTkifQ==</vt:lpwstr>
  </property>
</Properties>
</file>