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25"/>
          <w:tab w:val="center" w:pos="4482"/>
        </w:tabs>
        <w:spacing w:line="560" w:lineRule="exact"/>
        <w:jc w:val="both"/>
        <w:rPr>
          <w:rFonts w:hint="default" w:ascii="方正小标宋_GBK" w:eastAsia="方正小标宋_GBK"/>
          <w:color w:val="000000"/>
          <w:kern w:val="0"/>
          <w:sz w:val="36"/>
          <w:szCs w:val="36"/>
          <w:lang w:val="en-US" w:eastAsia="zh-CN"/>
        </w:rPr>
      </w:pPr>
      <w:r>
        <w:rPr>
          <w:rFonts w:hint="eastAsia" w:ascii="方正小标宋_GBK" w:eastAsia="方正小标宋_GBK"/>
          <w:color w:val="000000"/>
          <w:kern w:val="0"/>
          <w:sz w:val="36"/>
          <w:szCs w:val="36"/>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小标宋_GBK" w:eastAsia="方正小标宋_GBK"/>
          <w:color w:val="000000"/>
          <w:kern w:val="0"/>
          <w:sz w:val="36"/>
          <w:szCs w:val="36"/>
          <w:lang w:val="en-US" w:eastAsia="zh-CN"/>
        </w:rPr>
      </w:pPr>
      <w:r>
        <w:rPr>
          <w:rFonts w:hint="eastAsia" w:ascii="方正小标宋_GBK" w:eastAsia="方正小标宋_GBK"/>
          <w:color w:val="000000"/>
          <w:kern w:val="0"/>
          <w:sz w:val="36"/>
          <w:szCs w:val="36"/>
        </w:rPr>
        <w:t>委托镇</w:t>
      </w:r>
      <w:r>
        <w:rPr>
          <w:rFonts w:hint="eastAsia" w:ascii="方正小标宋_GBK" w:eastAsia="方正小标宋_GBK"/>
          <w:color w:val="000000"/>
          <w:kern w:val="0"/>
          <w:sz w:val="36"/>
          <w:szCs w:val="36"/>
          <w:lang w:eastAsia="zh-CN"/>
        </w:rPr>
        <w:t>（</w:t>
      </w:r>
      <w:r>
        <w:rPr>
          <w:rFonts w:hint="eastAsia" w:ascii="方正小标宋_GBK" w:eastAsia="方正小标宋_GBK"/>
          <w:color w:val="000000"/>
          <w:kern w:val="0"/>
          <w:sz w:val="36"/>
          <w:szCs w:val="36"/>
          <w:lang w:val="en-US" w:eastAsia="zh-CN"/>
        </w:rPr>
        <w:t>街道</w:t>
      </w:r>
      <w:r>
        <w:rPr>
          <w:rFonts w:hint="eastAsia" w:ascii="方正小标宋_GBK" w:eastAsia="方正小标宋_GBK"/>
          <w:color w:val="000000"/>
          <w:kern w:val="0"/>
          <w:sz w:val="36"/>
          <w:szCs w:val="36"/>
          <w:lang w:eastAsia="zh-CN"/>
        </w:rPr>
        <w:t>）</w:t>
      </w:r>
      <w:r>
        <w:rPr>
          <w:rFonts w:hint="eastAsia" w:ascii="方正小标宋_GBK" w:eastAsia="方正小标宋_GBK"/>
          <w:color w:val="000000"/>
          <w:kern w:val="0"/>
          <w:sz w:val="36"/>
          <w:szCs w:val="36"/>
        </w:rPr>
        <w:t>行使的消防监督检查、行政处罚权限</w:t>
      </w:r>
      <w:r>
        <w:rPr>
          <w:rFonts w:hint="eastAsia" w:ascii="方正小标宋_GBK" w:eastAsia="方正小标宋_GBK"/>
          <w:color w:val="000000"/>
          <w:kern w:val="0"/>
          <w:sz w:val="36"/>
          <w:szCs w:val="36"/>
          <w:lang w:val="en-US" w:eastAsia="zh-CN"/>
        </w:rPr>
        <w:t>范围参考</w:t>
      </w:r>
    </w:p>
    <w:tbl>
      <w:tblPr>
        <w:tblStyle w:val="4"/>
        <w:tblpPr w:leftFromText="180" w:rightFromText="180" w:vertAnchor="text" w:horzAnchor="page" w:tblpX="1391" w:tblpY="174"/>
        <w:tblOverlap w:val="never"/>
        <w:tblW w:w="14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50"/>
        <w:gridCol w:w="708"/>
        <w:gridCol w:w="849"/>
        <w:gridCol w:w="1559"/>
        <w:gridCol w:w="4679"/>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695" w:type="dxa"/>
            <w:vAlign w:val="center"/>
          </w:tcPr>
          <w:p>
            <w:pPr>
              <w:spacing w:line="300" w:lineRule="exact"/>
              <w:jc w:val="center"/>
              <w:rPr>
                <w:rFonts w:hint="eastAsia" w:ascii="Times New Roman" w:hAnsi="Times New Roman" w:eastAsia="黑体" w:cs="Times New Roman"/>
                <w:kern w:val="0"/>
                <w:sz w:val="24"/>
                <w:lang w:eastAsia="zh-CN"/>
              </w:rPr>
            </w:pPr>
            <w:r>
              <w:rPr>
                <w:rFonts w:ascii="Times New Roman" w:hAnsi="Times New Roman" w:eastAsia="黑体" w:cs="Times New Roman"/>
                <w:kern w:val="0"/>
                <w:sz w:val="24"/>
              </w:rPr>
              <w:t>委托</w:t>
            </w:r>
            <w:r>
              <w:rPr>
                <w:rFonts w:hint="eastAsia" w:ascii="Times New Roman" w:hAnsi="Times New Roman" w:eastAsia="黑体" w:cs="Times New Roman"/>
                <w:kern w:val="0"/>
                <w:sz w:val="24"/>
                <w:lang w:val="en-US" w:eastAsia="zh-CN"/>
              </w:rPr>
              <w:t>组织</w:t>
            </w:r>
          </w:p>
        </w:tc>
        <w:tc>
          <w:tcPr>
            <w:tcW w:w="850" w:type="dxa"/>
            <w:vAlign w:val="center"/>
          </w:tcPr>
          <w:p>
            <w:pPr>
              <w:spacing w:line="300" w:lineRule="exact"/>
              <w:jc w:val="center"/>
              <w:rPr>
                <w:rFonts w:hint="eastAsia" w:ascii="Times New Roman" w:hAnsi="Times New Roman" w:eastAsia="黑体" w:cs="Times New Roman"/>
                <w:kern w:val="0"/>
                <w:sz w:val="24"/>
                <w:lang w:eastAsia="zh-CN"/>
              </w:rPr>
            </w:pPr>
            <w:r>
              <w:rPr>
                <w:rFonts w:ascii="Times New Roman" w:hAnsi="Times New Roman" w:eastAsia="黑体" w:cs="Times New Roman"/>
                <w:kern w:val="0"/>
                <w:sz w:val="24"/>
              </w:rPr>
              <w:t>受委托</w:t>
            </w:r>
            <w:r>
              <w:rPr>
                <w:rFonts w:hint="eastAsia" w:ascii="Times New Roman" w:hAnsi="Times New Roman" w:eastAsia="黑体" w:cs="Times New Roman"/>
                <w:kern w:val="0"/>
                <w:sz w:val="24"/>
                <w:lang w:val="en-US" w:eastAsia="zh-CN"/>
              </w:rPr>
              <w:t>组织</w:t>
            </w:r>
          </w:p>
        </w:tc>
        <w:tc>
          <w:tcPr>
            <w:tcW w:w="708" w:type="dxa"/>
            <w:vAlign w:val="center"/>
          </w:tcPr>
          <w:p>
            <w:pPr>
              <w:spacing w:line="30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检查对象</w:t>
            </w:r>
          </w:p>
        </w:tc>
        <w:tc>
          <w:tcPr>
            <w:tcW w:w="849" w:type="dxa"/>
            <w:vAlign w:val="center"/>
          </w:tcPr>
          <w:p>
            <w:pPr>
              <w:spacing w:line="30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权限名称</w:t>
            </w:r>
          </w:p>
        </w:tc>
        <w:tc>
          <w:tcPr>
            <w:tcW w:w="6238" w:type="dxa"/>
            <w:gridSpan w:val="2"/>
            <w:vAlign w:val="center"/>
          </w:tcPr>
          <w:p>
            <w:pPr>
              <w:spacing w:line="30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授权检查内容</w:t>
            </w:r>
          </w:p>
        </w:tc>
        <w:tc>
          <w:tcPr>
            <w:tcW w:w="5178" w:type="dxa"/>
            <w:vAlign w:val="center"/>
          </w:tcPr>
          <w:p>
            <w:pPr>
              <w:spacing w:line="300" w:lineRule="exact"/>
              <w:jc w:val="center"/>
              <w:rPr>
                <w:rFonts w:ascii="Times New Roman" w:hAnsi="Times New Roman" w:eastAsia="黑体" w:cs="Times New Roman"/>
                <w:kern w:val="0"/>
                <w:sz w:val="24"/>
              </w:rPr>
            </w:pPr>
            <w:r>
              <w:rPr>
                <w:rFonts w:hint="eastAsia" w:ascii="Times New Roman" w:hAnsi="Times New Roman" w:eastAsia="黑体" w:cs="Times New Roman"/>
                <w:kern w:val="0"/>
                <w:sz w:val="24"/>
              </w:rPr>
              <w:t>授权</w:t>
            </w:r>
            <w:r>
              <w:rPr>
                <w:rFonts w:ascii="Times New Roman" w:hAnsi="Times New Roman" w:eastAsia="黑体" w:cs="Times New Roman"/>
                <w:kern w:val="0"/>
                <w:sz w:val="24"/>
              </w:rPr>
              <w:t>处罚内容</w:t>
            </w:r>
          </w:p>
          <w:p>
            <w:pPr>
              <w:spacing w:line="300" w:lineRule="exact"/>
              <w:jc w:val="center"/>
              <w:rPr>
                <w:rFonts w:ascii="Times New Roman" w:hAnsi="Times New Roman" w:eastAsia="黑体" w:cs="Times New Roman"/>
                <w:kern w:val="0"/>
                <w:sz w:val="18"/>
                <w:szCs w:val="18"/>
              </w:rPr>
            </w:pPr>
            <w:r>
              <w:rPr>
                <w:rFonts w:hint="eastAsia" w:ascii="Times New Roman" w:hAnsi="Times New Roman" w:eastAsia="黑体" w:cs="Times New Roman"/>
                <w:kern w:val="0"/>
                <w:sz w:val="18"/>
                <w:szCs w:val="18"/>
              </w:rPr>
              <w:t>（执行</w:t>
            </w:r>
            <w:r>
              <w:rPr>
                <w:rFonts w:hint="eastAsia" w:ascii="Times New Roman" w:hAnsi="Times New Roman" w:eastAsia="黑体" w:cs="Times New Roman"/>
                <w:kern w:val="0"/>
                <w:sz w:val="18"/>
                <w:szCs w:val="18"/>
                <w:lang w:eastAsia="zh-CN"/>
              </w:rPr>
              <w:t>《</w:t>
            </w:r>
            <w:r>
              <w:rPr>
                <w:rFonts w:hint="eastAsia" w:ascii="Times New Roman" w:hAnsi="Times New Roman" w:eastAsia="黑体" w:cs="Times New Roman"/>
                <w:kern w:val="0"/>
                <w:sz w:val="18"/>
                <w:szCs w:val="18"/>
              </w:rPr>
              <w:t>贵州省消防部门实施行政处罚自由裁量标准</w:t>
            </w:r>
            <w:r>
              <w:rPr>
                <w:rFonts w:hint="eastAsia" w:ascii="Times New Roman" w:hAnsi="Times New Roman" w:eastAsia="黑体" w:cs="Times New Roman"/>
                <w:kern w:val="0"/>
                <w:sz w:val="18"/>
                <w:szCs w:val="18"/>
                <w:lang w:eastAsia="zh-CN"/>
              </w:rPr>
              <w:t>》</w:t>
            </w:r>
            <w:r>
              <w:rPr>
                <w:rFonts w:hint="eastAsia" w:ascii="Times New Roman" w:hAnsi="Times New Roman" w:eastAsia="黑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95" w:type="dxa"/>
            <w:vMerge w:val="restart"/>
            <w:vAlign w:val="center"/>
          </w:tcPr>
          <w:p>
            <w:pPr>
              <w:spacing w:line="30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lang w:val="en-US" w:eastAsia="zh-CN"/>
              </w:rPr>
              <w:t>观山湖区</w:t>
            </w:r>
            <w:r>
              <w:rPr>
                <w:rFonts w:hint="eastAsia" w:ascii="Times New Roman" w:hAnsi="方正仿宋_GBK" w:eastAsia="宋体" w:cs="方正仿宋_GBK"/>
                <w:kern w:val="0"/>
                <w:sz w:val="24"/>
              </w:rPr>
              <w:t>消防救援大队</w:t>
            </w:r>
          </w:p>
        </w:tc>
        <w:tc>
          <w:tcPr>
            <w:tcW w:w="850" w:type="dxa"/>
            <w:vMerge w:val="restart"/>
            <w:vAlign w:val="center"/>
          </w:tcPr>
          <w:p>
            <w:pPr>
              <w:spacing w:line="30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lang w:val="en-US" w:eastAsia="zh-CN"/>
              </w:rPr>
              <w:t>观山湖区</w:t>
            </w:r>
            <w:r>
              <w:rPr>
                <w:rFonts w:hint="eastAsia" w:ascii="Times New Roman" w:hAnsi="方正仿宋_GBK" w:eastAsia="宋体" w:cs="方正仿宋_GBK"/>
                <w:kern w:val="0"/>
                <w:sz w:val="24"/>
              </w:rPr>
              <w:t>镇人民政府、街道办事处</w:t>
            </w:r>
          </w:p>
        </w:tc>
        <w:tc>
          <w:tcPr>
            <w:tcW w:w="708" w:type="dxa"/>
            <w:vMerge w:val="restart"/>
            <w:vAlign w:val="center"/>
          </w:tcPr>
          <w:p>
            <w:pPr>
              <w:spacing w:line="30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rPr>
              <w:t>按照委托权限范围对消防安全重点单位以外的机关、团体、企业、事业单位、和个人（含个体工商户）</w:t>
            </w:r>
          </w:p>
        </w:tc>
        <w:tc>
          <w:tcPr>
            <w:tcW w:w="849" w:type="dxa"/>
            <w:vMerge w:val="restart"/>
            <w:vAlign w:val="center"/>
          </w:tcPr>
          <w:p>
            <w:pPr>
              <w:spacing w:line="30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rPr>
              <w:t>对遵守消防法律、法规的情况进行监督检查、行政处罚</w:t>
            </w:r>
          </w:p>
        </w:tc>
        <w:tc>
          <w:tcPr>
            <w:tcW w:w="1559" w:type="dxa"/>
            <w:vMerge w:val="restart"/>
            <w:vAlign w:val="center"/>
          </w:tcPr>
          <w:p>
            <w:pPr>
              <w:spacing w:line="330" w:lineRule="exact"/>
              <w:jc w:val="center"/>
              <w:rPr>
                <w:rFonts w:ascii="Times New Roman" w:hAnsi="方正仿宋_GBK" w:eastAsia="宋体" w:cs="方正仿宋_GBK"/>
                <w:kern w:val="0"/>
                <w:sz w:val="24"/>
              </w:rPr>
            </w:pPr>
            <w:r>
              <w:rPr>
                <w:rFonts w:ascii="Times New Roman" w:hAnsi="方正仿宋_GBK" w:eastAsia="宋体" w:cs="方正仿宋_GBK"/>
                <w:kern w:val="0"/>
                <w:sz w:val="24"/>
              </w:rPr>
              <w:t>消防设施</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设备</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器材配置</w:t>
            </w:r>
          </w:p>
        </w:tc>
        <w:tc>
          <w:tcPr>
            <w:tcW w:w="4679" w:type="dxa"/>
            <w:vAlign w:val="center"/>
          </w:tcPr>
          <w:p>
            <w:pPr>
              <w:spacing w:line="330" w:lineRule="exact"/>
              <w:jc w:val="left"/>
              <w:rPr>
                <w:rFonts w:ascii="Times New Roman" w:hAnsi="方正仿宋_GBK" w:eastAsia="宋体" w:cs="方正仿宋_GBK"/>
                <w:kern w:val="0"/>
                <w:sz w:val="24"/>
              </w:rPr>
            </w:pPr>
            <w:r>
              <w:rPr>
                <w:rFonts w:hint="eastAsia" w:ascii="Times New Roman" w:hAnsi="方正仿宋_GBK" w:eastAsia="宋体" w:cs="方正仿宋_GBK"/>
                <w:kern w:val="0"/>
                <w:sz w:val="24"/>
              </w:rPr>
              <w:t>是否配置灭火器</w:t>
            </w:r>
          </w:p>
        </w:tc>
        <w:tc>
          <w:tcPr>
            <w:tcW w:w="5178" w:type="dxa"/>
            <w:vMerge w:val="restart"/>
            <w:vAlign w:val="center"/>
          </w:tcPr>
          <w:p>
            <w:pPr>
              <w:spacing w:line="240" w:lineRule="exact"/>
              <w:jc w:val="left"/>
              <w:rPr>
                <w:rFonts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十六条第一款第二项、《贵州省消防条例》第二十二条、《贵阳市消防条例》第十五条第三项的行为，依据《中华人民共和国消防法》第六十条第一款第一项，《贵州省消防条例》第五十条，《贵阳市消防条例》第三十六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ascii="Times New Roman" w:hAnsi="方正仿宋_GBK" w:eastAsia="宋体" w:cs="方正仿宋_GBK"/>
                <w:kern w:val="0"/>
                <w:sz w:val="24"/>
              </w:rPr>
            </w:pPr>
            <w:r>
              <w:rPr>
                <w:rFonts w:ascii="Times New Roman" w:hAnsi="方正仿宋_GBK" w:eastAsia="宋体" w:cs="方正仿宋_GBK"/>
                <w:kern w:val="0"/>
                <w:sz w:val="24"/>
              </w:rPr>
              <w:t>是否配置应急照明灯</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疏散指示标志</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ascii="Times New Roman" w:hAnsi="方正仿宋_GBK" w:eastAsia="宋体" w:cs="方正仿宋_GBK"/>
                <w:kern w:val="0"/>
                <w:sz w:val="24"/>
              </w:rPr>
            </w:pPr>
            <w:r>
              <w:rPr>
                <w:rFonts w:hint="eastAsia" w:ascii="Times New Roman" w:hAnsi="方正仿宋_GBK" w:eastAsia="宋体" w:cs="方正仿宋_GBK"/>
                <w:kern w:val="0"/>
                <w:sz w:val="24"/>
              </w:rPr>
              <w:t>是否配置室内消火栓</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restart"/>
            <w:vAlign w:val="center"/>
          </w:tcPr>
          <w:p>
            <w:pPr>
              <w:spacing w:line="330" w:lineRule="exact"/>
              <w:jc w:val="center"/>
              <w:rPr>
                <w:rFonts w:ascii="Times New Roman" w:hAnsi="方正仿宋_GBK" w:eastAsia="宋体" w:cs="方正仿宋_GBK"/>
                <w:kern w:val="0"/>
                <w:sz w:val="24"/>
              </w:rPr>
            </w:pPr>
            <w:r>
              <w:rPr>
                <w:rFonts w:ascii="Times New Roman" w:hAnsi="方正仿宋_GBK" w:eastAsia="宋体" w:cs="方正仿宋_GBK"/>
                <w:kern w:val="0"/>
                <w:sz w:val="24"/>
              </w:rPr>
              <w:t>消防设施</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设备</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器材</w:t>
            </w:r>
            <w:r>
              <w:rPr>
                <w:rFonts w:hint="eastAsia" w:ascii="Times New Roman" w:hAnsi="方正仿宋_GBK" w:eastAsia="宋体" w:cs="方正仿宋_GBK"/>
                <w:kern w:val="0"/>
                <w:sz w:val="24"/>
              </w:rPr>
              <w:t>维护</w:t>
            </w:r>
            <w:r>
              <w:rPr>
                <w:rFonts w:ascii="Times New Roman" w:hAnsi="方正仿宋_GBK" w:eastAsia="宋体" w:cs="方正仿宋_GBK"/>
                <w:kern w:val="0"/>
                <w:sz w:val="24"/>
              </w:rPr>
              <w:t>保养</w:t>
            </w:r>
          </w:p>
        </w:tc>
        <w:tc>
          <w:tcPr>
            <w:tcW w:w="4679" w:type="dxa"/>
            <w:vAlign w:val="center"/>
          </w:tcPr>
          <w:p>
            <w:pPr>
              <w:spacing w:line="24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应急照明、疏散指示标志是否完好有效</w:t>
            </w:r>
          </w:p>
        </w:tc>
        <w:tc>
          <w:tcPr>
            <w:tcW w:w="5178" w:type="dxa"/>
            <w:vMerge w:val="restart"/>
            <w:vAlign w:val="center"/>
          </w:tcPr>
          <w:p>
            <w:pPr>
              <w:spacing w:line="240" w:lineRule="exact"/>
              <w:jc w:val="left"/>
              <w:rPr>
                <w:rFonts w:hint="eastAsia"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违反《中华人民共和国消防法》第十六条第一款第二项、《贵阳市消防条例》第十五条第三项的行为，依据《中华人民共和国消防法》第六十条第一款第一项、《贵阳市消防条例》第三十六条作出行政处罚决定。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ascii="Times New Roman" w:hAnsi="方正仿宋_GBK" w:eastAsia="宋体" w:cs="方正仿宋_GBK"/>
                <w:kern w:val="0"/>
                <w:sz w:val="24"/>
              </w:rPr>
            </w:pPr>
            <w:r>
              <w:rPr>
                <w:rFonts w:hint="eastAsia" w:ascii="Times New Roman" w:hAnsi="方正仿宋_GBK" w:eastAsia="宋体" w:cs="方正仿宋_GBK"/>
                <w:kern w:val="0"/>
                <w:sz w:val="24"/>
              </w:rPr>
              <w:t>灭火器是否完好有效</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室内、外消火栓是否完好有效</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restart"/>
            <w:vAlign w:val="center"/>
          </w:tcPr>
          <w:p>
            <w:pPr>
              <w:spacing w:line="33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rPr>
              <w:t>消防设施、器材管理</w:t>
            </w:r>
          </w:p>
        </w:tc>
        <w:tc>
          <w:tcPr>
            <w:tcW w:w="4679" w:type="dxa"/>
            <w:vAlign w:val="center"/>
          </w:tcPr>
          <w:p>
            <w:pPr>
              <w:spacing w:line="24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是否损坏、挪用、拆除、停用消防设施、器材</w:t>
            </w:r>
          </w:p>
        </w:tc>
        <w:tc>
          <w:tcPr>
            <w:tcW w:w="5178" w:type="dxa"/>
            <w:vMerge w:val="restart"/>
            <w:vAlign w:val="center"/>
          </w:tcPr>
          <w:p>
            <w:pPr>
              <w:spacing w:line="240" w:lineRule="exact"/>
              <w:jc w:val="left"/>
              <w:rPr>
                <w:rFonts w:hint="eastAsia"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二十八条，《贵州省消防条例》第二十四条第一项、第六项的行为，依据《中华人民共和国消防法》第六十条第一款第二、四项、第六十条第二款，《贵州省消防条例》第五十一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24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是否圈占、埋压、遮挡消火栓</w:t>
            </w:r>
          </w:p>
        </w:tc>
        <w:tc>
          <w:tcPr>
            <w:tcW w:w="5178" w:type="dxa"/>
            <w:vMerge w:val="continue"/>
            <w:vAlign w:val="center"/>
          </w:tcPr>
          <w:p>
            <w:pPr>
              <w:spacing w:line="240" w:lineRule="exact"/>
              <w:jc w:val="center"/>
              <w:rPr>
                <w:rFonts w:hint="eastAsia"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防火卷帘下方是否堆放杂物</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市政、室外消火栓和水泵接合器3米范围内堆放物品或停放车辆</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restart"/>
            <w:vAlign w:val="center"/>
          </w:tcPr>
          <w:p>
            <w:pPr>
              <w:spacing w:line="330" w:lineRule="exact"/>
              <w:jc w:val="center"/>
              <w:rPr>
                <w:rFonts w:ascii="Times New Roman" w:hAnsi="方正仿宋_GBK" w:eastAsia="宋体" w:cs="方正仿宋_GBK"/>
                <w:kern w:val="0"/>
                <w:sz w:val="24"/>
              </w:rPr>
            </w:pPr>
            <w:r>
              <w:rPr>
                <w:rFonts w:ascii="Times New Roman" w:hAnsi="方正仿宋_GBK" w:eastAsia="宋体" w:cs="方正仿宋_GBK"/>
                <w:kern w:val="0"/>
                <w:sz w:val="24"/>
              </w:rPr>
              <w:t>安全出口</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疏散通道</w:t>
            </w:r>
            <w:r>
              <w:rPr>
                <w:rFonts w:hint="eastAsia" w:ascii="Times New Roman" w:hAnsi="方正仿宋_GBK" w:eastAsia="宋体" w:cs="方正仿宋_GBK"/>
                <w:kern w:val="0"/>
                <w:sz w:val="24"/>
              </w:rPr>
              <w:t>、</w:t>
            </w:r>
            <w:r>
              <w:rPr>
                <w:rFonts w:ascii="Times New Roman" w:hAnsi="方正仿宋_GBK" w:eastAsia="宋体" w:cs="方正仿宋_GBK"/>
                <w:kern w:val="0"/>
                <w:sz w:val="24"/>
              </w:rPr>
              <w:t>消防车道</w:t>
            </w:r>
            <w:r>
              <w:rPr>
                <w:rFonts w:hint="eastAsia" w:ascii="Times New Roman" w:hAnsi="方正仿宋_GBK" w:eastAsia="宋体" w:cs="方正仿宋_GBK"/>
                <w:kern w:val="0"/>
                <w:sz w:val="24"/>
              </w:rPr>
              <w:t>保障</w:t>
            </w: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安全出口、疏散通道是否畅通</w:t>
            </w:r>
          </w:p>
        </w:tc>
        <w:tc>
          <w:tcPr>
            <w:tcW w:w="5178" w:type="dxa"/>
            <w:vMerge w:val="restart"/>
            <w:vAlign w:val="center"/>
          </w:tcPr>
          <w:p>
            <w:pPr>
              <w:spacing w:line="240" w:lineRule="exact"/>
              <w:jc w:val="left"/>
              <w:rPr>
                <w:rFonts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二十八条、《贵州省消防条例》第二十四条第五项，《贵阳市消防条例》第十二条第四项、第十五条第四项的行为，依据《中华人民共和国消防法》第六十条第一款第三、五、六项、第六十条第二款，《贵州省消防条例》第五十一条，《贵阳市消防条例》第三十五条、第三十六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消防车通道是否畅通</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ascii="Times New Roman" w:hAnsi="方正仿宋_GBK" w:eastAsia="宋体" w:cs="方正仿宋_GBK"/>
                <w:kern w:val="0"/>
                <w:sz w:val="24"/>
              </w:rPr>
            </w:pPr>
          </w:p>
        </w:tc>
        <w:tc>
          <w:tcPr>
            <w:tcW w:w="4679" w:type="dxa"/>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门窗是否设置影响逃生、灭火救援的障碍物</w:t>
            </w:r>
          </w:p>
        </w:tc>
        <w:tc>
          <w:tcPr>
            <w:tcW w:w="5178" w:type="dxa"/>
            <w:vMerge w:val="continue"/>
            <w:vAlign w:val="center"/>
          </w:tcPr>
          <w:p>
            <w:pPr>
              <w:spacing w:line="240" w:lineRule="exact"/>
              <w:jc w:val="left"/>
              <w:rPr>
                <w:rFonts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vMerge w:val="restart"/>
            <w:shd w:val="clear" w:color="auto" w:fill="auto"/>
            <w:vAlign w:val="center"/>
          </w:tcPr>
          <w:p>
            <w:pPr>
              <w:spacing w:line="330" w:lineRule="exact"/>
              <w:jc w:val="center"/>
              <w:rPr>
                <w:rFonts w:ascii="Times New Roman" w:hAnsi="方正仿宋_GBK" w:eastAsia="宋体" w:cs="方正仿宋_GBK"/>
                <w:spacing w:val="-11"/>
                <w:kern w:val="0"/>
                <w:sz w:val="24"/>
              </w:rPr>
            </w:pPr>
            <w:r>
              <w:rPr>
                <w:rFonts w:hint="eastAsia" w:ascii="Times New Roman" w:hAnsi="方正仿宋_GBK" w:eastAsia="宋体" w:cs="方正仿宋_GBK"/>
                <w:kern w:val="0"/>
                <w:sz w:val="24"/>
              </w:rPr>
              <w:t>建筑、场所设置、布局</w:t>
            </w:r>
          </w:p>
        </w:tc>
        <w:tc>
          <w:tcPr>
            <w:tcW w:w="4679" w:type="dxa"/>
            <w:shd w:val="clear" w:color="auto" w:fill="FFFFFF"/>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群众生活是否与生产、经营等不同性质的用途设置在同一</w:t>
            </w:r>
            <w:r>
              <w:rPr>
                <w:rFonts w:hint="eastAsia" w:ascii="Times New Roman" w:hAnsi="方正仿宋_GBK" w:eastAsia="宋体" w:cs="方正仿宋_GBK"/>
                <w:kern w:val="0"/>
                <w:sz w:val="24"/>
                <w:lang w:val="en-US" w:eastAsia="zh-CN"/>
              </w:rPr>
              <w:t>建筑</w:t>
            </w:r>
            <w:r>
              <w:rPr>
                <w:rFonts w:hint="eastAsia" w:ascii="Times New Roman" w:hAnsi="方正仿宋_GBK" w:eastAsia="宋体" w:cs="方正仿宋_GBK"/>
                <w:kern w:val="0"/>
                <w:sz w:val="24"/>
              </w:rPr>
              <w:t>内</w:t>
            </w:r>
          </w:p>
        </w:tc>
        <w:tc>
          <w:tcPr>
            <w:tcW w:w="5178" w:type="dxa"/>
            <w:vMerge w:val="restart"/>
            <w:vAlign w:val="center"/>
          </w:tcPr>
          <w:p>
            <w:pPr>
              <w:spacing w:line="240" w:lineRule="exact"/>
              <w:jc w:val="left"/>
              <w:rPr>
                <w:rFonts w:hint="eastAsia"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违反《中华人民共和国消防法》第十九条的行为，依据《中华人民共和国消防法》第六十一条第二款，作出行政处罚决定。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vMerge w:val="continue"/>
            <w:shd w:val="clear" w:color="auto" w:fill="auto"/>
            <w:vAlign w:val="center"/>
          </w:tcPr>
          <w:p>
            <w:pPr>
              <w:spacing w:line="330" w:lineRule="exact"/>
              <w:jc w:val="center"/>
              <w:rPr>
                <w:rFonts w:hint="eastAsia" w:ascii="方正仿宋_GBK" w:hAnsi="方正仿宋_GBK" w:eastAsia="方正仿宋_GBK" w:cs="方正仿宋_GBK"/>
                <w:sz w:val="21"/>
                <w:szCs w:val="21"/>
              </w:rPr>
            </w:pPr>
          </w:p>
        </w:tc>
        <w:tc>
          <w:tcPr>
            <w:tcW w:w="4679" w:type="dxa"/>
            <w:shd w:val="clear" w:color="auto" w:fill="FFFFFF"/>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在同一建筑内的商业用房与住宅是否设置完整防火分隔并有独立疏散通道</w:t>
            </w:r>
          </w:p>
        </w:tc>
        <w:tc>
          <w:tcPr>
            <w:tcW w:w="5178" w:type="dxa"/>
            <w:vMerge w:val="continue"/>
            <w:vAlign w:val="center"/>
          </w:tcPr>
          <w:p>
            <w:pPr>
              <w:spacing w:line="240" w:lineRule="exact"/>
              <w:jc w:val="left"/>
              <w:rPr>
                <w:rFonts w:hint="eastAsia"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vMerge w:val="continue"/>
            <w:shd w:val="clear" w:color="auto" w:fill="auto"/>
            <w:vAlign w:val="center"/>
          </w:tcPr>
          <w:p>
            <w:pPr>
              <w:spacing w:line="330" w:lineRule="exact"/>
              <w:jc w:val="center"/>
              <w:rPr>
                <w:rFonts w:hint="eastAsia" w:ascii="方正仿宋_GBK" w:hAnsi="方正仿宋_GBK" w:eastAsia="方正仿宋_GBK" w:cs="方正仿宋_GBK"/>
                <w:sz w:val="21"/>
                <w:szCs w:val="21"/>
              </w:rPr>
            </w:pPr>
          </w:p>
        </w:tc>
        <w:tc>
          <w:tcPr>
            <w:tcW w:w="4679" w:type="dxa"/>
            <w:shd w:val="clear" w:color="auto" w:fill="FFFFFF"/>
            <w:vAlign w:val="center"/>
          </w:tcPr>
          <w:p>
            <w:pPr>
              <w:spacing w:line="330" w:lineRule="exact"/>
              <w:jc w:val="left"/>
              <w:rPr>
                <w:rFonts w:hint="eastAsia" w:ascii="Times New Roman" w:hAnsi="方正仿宋_GBK" w:eastAsia="宋体" w:cs="方正仿宋_GBK"/>
                <w:kern w:val="0"/>
                <w:sz w:val="24"/>
              </w:rPr>
            </w:pPr>
            <w:r>
              <w:rPr>
                <w:rFonts w:hint="eastAsia" w:ascii="Times New Roman" w:hAnsi="方正仿宋_GBK" w:eastAsia="宋体" w:cs="方正仿宋_GBK"/>
                <w:kern w:val="0"/>
                <w:sz w:val="24"/>
              </w:rPr>
              <w:t>工业企业、仓库是否与住宅设置在同一栋建筑内</w:t>
            </w:r>
          </w:p>
        </w:tc>
        <w:tc>
          <w:tcPr>
            <w:tcW w:w="5178" w:type="dxa"/>
            <w:vMerge w:val="continue"/>
            <w:vAlign w:val="center"/>
          </w:tcPr>
          <w:p>
            <w:pPr>
              <w:spacing w:line="240" w:lineRule="exact"/>
              <w:jc w:val="left"/>
              <w:rPr>
                <w:rFonts w:hint="eastAsia" w:ascii="Times New Roman" w:hAnsi="方正仿宋_GBK" w:eastAsia="宋体"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shd w:val="clear" w:color="auto" w:fill="auto"/>
            <w:vAlign w:val="center"/>
          </w:tcPr>
          <w:p>
            <w:pPr>
              <w:spacing w:line="330" w:lineRule="exact"/>
              <w:jc w:val="both"/>
              <w:rPr>
                <w:rFonts w:ascii="Times New Roman" w:hAnsi="方正仿宋_GBK" w:eastAsia="宋体" w:cs="方正仿宋_GBK"/>
                <w:spacing w:val="-11"/>
                <w:kern w:val="0"/>
                <w:sz w:val="24"/>
              </w:rPr>
            </w:pPr>
            <w:r>
              <w:rPr>
                <w:rFonts w:ascii="Times New Roman" w:hAnsi="方正仿宋_GBK" w:eastAsia="宋体" w:cs="方正仿宋_GBK"/>
                <w:spacing w:val="-11"/>
                <w:kern w:val="0"/>
                <w:sz w:val="24"/>
              </w:rPr>
              <w:t>电气</w:t>
            </w:r>
            <w:r>
              <w:rPr>
                <w:rFonts w:hint="eastAsia" w:ascii="Times New Roman" w:hAnsi="方正仿宋_GBK" w:eastAsia="宋体" w:cs="方正仿宋_GBK"/>
                <w:spacing w:val="-11"/>
                <w:kern w:val="0"/>
                <w:sz w:val="24"/>
                <w:lang w:eastAsia="zh-CN"/>
              </w:rPr>
              <w:t>、</w:t>
            </w:r>
            <w:r>
              <w:rPr>
                <w:rFonts w:hint="eastAsia" w:ascii="Times New Roman" w:hAnsi="方正仿宋_GBK" w:eastAsia="宋体" w:cs="方正仿宋_GBK"/>
                <w:spacing w:val="-11"/>
                <w:kern w:val="0"/>
                <w:sz w:val="24"/>
                <w:lang w:val="en-US" w:eastAsia="zh-CN"/>
              </w:rPr>
              <w:t>燃气火灾</w:t>
            </w:r>
            <w:r>
              <w:rPr>
                <w:rFonts w:ascii="Times New Roman" w:hAnsi="方正仿宋_GBK" w:eastAsia="宋体" w:cs="方正仿宋_GBK"/>
                <w:spacing w:val="-11"/>
                <w:kern w:val="0"/>
                <w:sz w:val="24"/>
              </w:rPr>
              <w:t>防范</w:t>
            </w:r>
          </w:p>
        </w:tc>
        <w:tc>
          <w:tcPr>
            <w:tcW w:w="4679" w:type="dxa"/>
            <w:shd w:val="clear" w:color="auto" w:fill="FFFFFF"/>
            <w:vAlign w:val="center"/>
          </w:tcPr>
          <w:p>
            <w:pPr>
              <w:spacing w:line="330" w:lineRule="exact"/>
              <w:jc w:val="left"/>
              <w:rPr>
                <w:rFonts w:hint="eastAsia" w:ascii="Times New Roman" w:hAnsi="方正仿宋_GBK" w:eastAsia="宋体" w:cs="方正仿宋_GBK"/>
                <w:color w:val="auto"/>
                <w:kern w:val="0"/>
                <w:sz w:val="24"/>
              </w:rPr>
            </w:pPr>
            <w:r>
              <w:rPr>
                <w:rFonts w:hint="eastAsia" w:ascii="Times New Roman" w:hAnsi="方正仿宋_GBK" w:eastAsia="宋体" w:cs="方正仿宋_GBK"/>
                <w:color w:val="auto"/>
                <w:kern w:val="0"/>
                <w:sz w:val="24"/>
              </w:rPr>
              <w:t>是否</w:t>
            </w:r>
            <w:r>
              <w:rPr>
                <w:rFonts w:hint="eastAsia" w:ascii="Times New Roman" w:hAnsi="方正仿宋_GBK" w:eastAsia="宋体" w:cs="方正仿宋_GBK"/>
                <w:kern w:val="0"/>
                <w:sz w:val="24"/>
              </w:rPr>
              <w:t>存在</w:t>
            </w:r>
            <w:r>
              <w:rPr>
                <w:rFonts w:hint="eastAsia" w:ascii="Times New Roman" w:hAnsi="方正仿宋_GBK" w:eastAsia="宋体" w:cs="方正仿宋_GBK"/>
                <w:color w:val="auto"/>
                <w:kern w:val="0"/>
                <w:sz w:val="24"/>
              </w:rPr>
              <w:t>使用不合格电</w:t>
            </w:r>
            <w:r>
              <w:rPr>
                <w:rFonts w:hint="eastAsia" w:ascii="Times New Roman" w:hAnsi="方正仿宋_GBK" w:eastAsia="宋体" w:cs="方正仿宋_GBK"/>
                <w:color w:val="auto"/>
                <w:kern w:val="0"/>
                <w:sz w:val="24"/>
                <w:lang w:val="en-US" w:eastAsia="zh-CN"/>
              </w:rPr>
              <w:t>器</w:t>
            </w:r>
            <w:r>
              <w:rPr>
                <w:rFonts w:hint="eastAsia" w:ascii="Times New Roman" w:hAnsi="方正仿宋_GBK" w:eastAsia="宋体" w:cs="方正仿宋_GBK"/>
                <w:color w:val="auto"/>
                <w:kern w:val="0"/>
                <w:sz w:val="24"/>
              </w:rPr>
              <w:t>产品</w:t>
            </w:r>
            <w:r>
              <w:rPr>
                <w:rFonts w:hint="eastAsia" w:ascii="Times New Roman" w:hAnsi="方正仿宋_GBK" w:eastAsia="宋体" w:cs="方正仿宋_GBK"/>
                <w:color w:val="auto"/>
                <w:kern w:val="0"/>
                <w:sz w:val="24"/>
                <w:lang w:eastAsia="zh-CN"/>
              </w:rPr>
              <w:t>、</w:t>
            </w:r>
            <w:r>
              <w:rPr>
                <w:rFonts w:hint="eastAsia" w:ascii="Times New Roman" w:hAnsi="方正仿宋_GBK" w:eastAsia="宋体" w:cs="方正仿宋_GBK"/>
                <w:color w:val="auto"/>
                <w:kern w:val="0"/>
                <w:sz w:val="24"/>
                <w:lang w:val="en-US" w:eastAsia="zh-CN"/>
              </w:rPr>
              <w:t>燃气用具</w:t>
            </w:r>
            <w:r>
              <w:rPr>
                <w:rFonts w:hint="eastAsia" w:ascii="Times New Roman" w:hAnsi="方正仿宋_GBK" w:eastAsia="宋体" w:cs="方正仿宋_GBK"/>
                <w:color w:val="auto"/>
                <w:kern w:val="0"/>
                <w:sz w:val="24"/>
              </w:rPr>
              <w:t>情况</w:t>
            </w:r>
          </w:p>
        </w:tc>
        <w:tc>
          <w:tcPr>
            <w:tcW w:w="5178" w:type="dxa"/>
            <w:vAlign w:val="center"/>
          </w:tcPr>
          <w:p>
            <w:pPr>
              <w:spacing w:line="240" w:lineRule="exact"/>
              <w:jc w:val="left"/>
              <w:rPr>
                <w:rFonts w:ascii="Times New Roman" w:hAnsi="方正仿宋_GBK" w:eastAsia="宋体" w:cs="方正仿宋_GBK"/>
                <w:kern w:val="0"/>
                <w:sz w:val="21"/>
                <w:szCs w:val="21"/>
              </w:rPr>
            </w:pPr>
            <w:r>
              <w:rPr>
                <w:rFonts w:hint="eastAsia" w:ascii="Times New Roman" w:hAnsi="方正仿宋_GBK" w:eastAsia="宋体" w:cs="方正仿宋_GBK"/>
                <w:kern w:val="0"/>
                <w:sz w:val="21"/>
                <w:szCs w:val="21"/>
              </w:rPr>
              <w:t>违反《中华人民共和国消防法》第二十七条的行为，依据《中华人民共和国消防法》第六十六条，作出行政处罚决定。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restart"/>
            <w:vAlign w:val="center"/>
          </w:tcPr>
          <w:p>
            <w:pPr>
              <w:spacing w:line="330" w:lineRule="exact"/>
              <w:jc w:val="center"/>
              <w:rPr>
                <w:rFonts w:hint="default" w:ascii="Times New Roman" w:hAnsi="方正仿宋_GBK" w:eastAsia="宋体" w:cs="方正仿宋_GBK"/>
                <w:kern w:val="0"/>
                <w:sz w:val="24"/>
                <w:lang w:val="en-US" w:eastAsia="zh-CN"/>
              </w:rPr>
            </w:pPr>
            <w:r>
              <w:rPr>
                <w:rFonts w:hint="eastAsia" w:ascii="Times New Roman" w:hAnsi="方正仿宋_GBK" w:eastAsia="宋体" w:cs="方正仿宋_GBK"/>
                <w:kern w:val="0"/>
                <w:sz w:val="24"/>
                <w:lang w:val="en-US" w:eastAsia="zh-CN"/>
              </w:rPr>
              <w:t>电动自行车消防隐患监管</w:t>
            </w:r>
          </w:p>
        </w:tc>
        <w:tc>
          <w:tcPr>
            <w:tcW w:w="4679" w:type="dxa"/>
            <w:vAlign w:val="center"/>
          </w:tcPr>
          <w:p>
            <w:pPr>
              <w:spacing w:line="330" w:lineRule="exact"/>
              <w:jc w:val="left"/>
              <w:rPr>
                <w:rFonts w:hint="eastAsia" w:ascii="Times New Roman" w:hAnsi="方正仿宋_GBK" w:eastAsia="宋体" w:cs="方正仿宋_GBK"/>
                <w:kern w:val="0"/>
                <w:sz w:val="24"/>
              </w:rPr>
            </w:pPr>
            <w:r>
              <w:rPr>
                <w:rFonts w:ascii="Times New Roman" w:hAnsi="方正仿宋_GBK" w:eastAsia="宋体" w:cs="方正仿宋_GBK"/>
                <w:spacing w:val="-11"/>
                <w:kern w:val="0"/>
                <w:sz w:val="24"/>
              </w:rPr>
              <w:t>是否</w:t>
            </w:r>
            <w:r>
              <w:rPr>
                <w:rFonts w:ascii="宋体" w:hAnsi="宋体" w:eastAsia="宋体" w:cs="宋体"/>
                <w:sz w:val="24"/>
                <w:szCs w:val="24"/>
              </w:rPr>
              <w:t>在高层民用建筑</w:t>
            </w:r>
            <w:r>
              <w:rPr>
                <w:rFonts w:ascii="Times New Roman" w:hAnsi="方正仿宋_GBK" w:eastAsia="宋体" w:cs="方正仿宋_GBK"/>
                <w:spacing w:val="-11"/>
                <w:kern w:val="0"/>
                <w:sz w:val="24"/>
              </w:rPr>
              <w:t>存在电动车</w:t>
            </w:r>
            <w:r>
              <w:rPr>
                <w:rFonts w:hint="eastAsia" w:ascii="Times New Roman" w:hAnsi="方正仿宋_GBK" w:eastAsia="宋体" w:cs="方正仿宋_GBK"/>
                <w:spacing w:val="-11"/>
                <w:kern w:val="0"/>
                <w:sz w:val="24"/>
              </w:rPr>
              <w:t>停放、</w:t>
            </w:r>
            <w:r>
              <w:rPr>
                <w:rFonts w:ascii="Times New Roman" w:hAnsi="方正仿宋_GBK" w:eastAsia="宋体" w:cs="方正仿宋_GBK"/>
                <w:spacing w:val="-11"/>
                <w:kern w:val="0"/>
                <w:sz w:val="24"/>
              </w:rPr>
              <w:t>充电</w:t>
            </w:r>
            <w:r>
              <w:rPr>
                <w:rFonts w:hint="eastAsia" w:ascii="Times New Roman" w:hAnsi="方正仿宋_GBK" w:eastAsia="宋体" w:cs="方正仿宋_GBK"/>
                <w:spacing w:val="-11"/>
                <w:kern w:val="0"/>
                <w:sz w:val="24"/>
              </w:rPr>
              <w:t>不规范</w:t>
            </w:r>
            <w:r>
              <w:rPr>
                <w:rFonts w:ascii="Times New Roman" w:hAnsi="方正仿宋_GBK" w:eastAsia="宋体" w:cs="方正仿宋_GBK"/>
                <w:spacing w:val="-11"/>
                <w:kern w:val="0"/>
                <w:sz w:val="24"/>
              </w:rPr>
              <w:t>情况</w:t>
            </w:r>
          </w:p>
        </w:tc>
        <w:tc>
          <w:tcPr>
            <w:tcW w:w="5178" w:type="dxa"/>
            <w:vAlign w:val="center"/>
          </w:tcPr>
          <w:p>
            <w:pPr>
              <w:spacing w:line="240" w:lineRule="exact"/>
              <w:jc w:val="left"/>
              <w:rPr>
                <w:rFonts w:hint="eastAsia" w:ascii="Times New Roman" w:hAnsi="方正仿宋_GBK" w:eastAsia="宋体" w:cs="方正仿宋_GBK"/>
                <w:kern w:val="0"/>
                <w:sz w:val="21"/>
                <w:szCs w:val="21"/>
                <w:lang w:eastAsia="zh-CN"/>
              </w:rPr>
            </w:pPr>
            <w:r>
              <w:rPr>
                <w:rFonts w:hint="eastAsia" w:ascii="Times New Roman" w:hAnsi="方正仿宋_GBK" w:eastAsia="宋体" w:cs="方正仿宋_GBK"/>
                <w:kern w:val="0"/>
                <w:sz w:val="21"/>
                <w:szCs w:val="21"/>
                <w:lang w:val="en-US" w:eastAsia="zh-CN"/>
              </w:rPr>
              <w:t>违反</w:t>
            </w:r>
            <w:r>
              <w:rPr>
                <w:rFonts w:hint="eastAsia" w:ascii="Times New Roman" w:hAnsi="方正仿宋_GBK" w:eastAsia="宋体" w:cs="方正仿宋_GBK"/>
                <w:kern w:val="0"/>
                <w:sz w:val="21"/>
                <w:szCs w:val="21"/>
              </w:rPr>
              <w:t>《高层民用建筑消防安全管理规定》第三十七条第一款</w:t>
            </w:r>
            <w:r>
              <w:rPr>
                <w:rFonts w:hint="eastAsia" w:ascii="Times New Roman" w:hAnsi="方正仿宋_GBK" w:eastAsia="宋体" w:cs="方正仿宋_GBK"/>
                <w:kern w:val="0"/>
                <w:sz w:val="21"/>
                <w:szCs w:val="21"/>
                <w:lang w:eastAsia="zh-CN"/>
              </w:rPr>
              <w:t>，</w:t>
            </w:r>
            <w:r>
              <w:rPr>
                <w:rFonts w:hint="eastAsia" w:ascii="Times New Roman" w:hAnsi="方正仿宋_GBK" w:eastAsia="宋体" w:cs="方正仿宋_GBK"/>
                <w:kern w:val="0"/>
                <w:sz w:val="21"/>
                <w:szCs w:val="21"/>
                <w:lang w:val="en-US" w:eastAsia="zh-CN"/>
              </w:rPr>
              <w:t>依据</w:t>
            </w:r>
            <w:r>
              <w:rPr>
                <w:rFonts w:hint="eastAsia" w:ascii="Times New Roman" w:hAnsi="方正仿宋_GBK" w:eastAsia="宋体" w:cs="方正仿宋_GBK"/>
                <w:kern w:val="0"/>
                <w:sz w:val="21"/>
                <w:szCs w:val="21"/>
              </w:rPr>
              <w:t>《高层民用建筑消防安全管理规定》第四十七条作出行政处罚决定</w:t>
            </w:r>
            <w:r>
              <w:rPr>
                <w:rFonts w:hint="eastAsia" w:ascii="Times New Roman" w:hAnsi="方正仿宋_GBK" w:eastAsia="宋体" w:cs="方正仿宋_GBK"/>
                <w:kern w:val="0"/>
                <w:sz w:val="21"/>
                <w:szCs w:val="21"/>
                <w:lang w:eastAsia="zh-CN"/>
              </w:rPr>
              <w:t>；</w:t>
            </w:r>
            <w:r>
              <w:rPr>
                <w:rFonts w:hint="eastAsia" w:ascii="Times New Roman" w:hAnsi="方正仿宋_GBK" w:eastAsia="宋体" w:cs="方正仿宋_GBK"/>
                <w:kern w:val="0"/>
                <w:sz w:val="21"/>
                <w:szCs w:val="21"/>
              </w:rPr>
              <w:t>违反《中华人民共和国消防法》第十六条第五项，依据《中华人民共和国消防法》第六十七条作出行政处罚决定。</w:t>
            </w:r>
            <w:r>
              <w:rPr>
                <w:rFonts w:hint="eastAsia" w:ascii="Times New Roman" w:hAnsi="方正仿宋_GBK" w:eastAsia="宋体" w:cs="方正仿宋_GBK"/>
                <w:color w:val="0000FF"/>
                <w:kern w:val="0"/>
                <w:sz w:val="21"/>
                <w:szCs w:val="21"/>
                <w:lang w:eastAsia="zh-CN"/>
              </w:rPr>
              <w:t>（</w:t>
            </w:r>
            <w:r>
              <w:rPr>
                <w:rFonts w:hint="eastAsia" w:ascii="Times New Roman" w:hAnsi="方正仿宋_GBK" w:eastAsia="宋体" w:cs="方正仿宋_GBK"/>
                <w:color w:val="0000FF"/>
                <w:kern w:val="0"/>
                <w:sz w:val="21"/>
                <w:szCs w:val="21"/>
                <w:lang w:val="en-US" w:eastAsia="zh-CN"/>
              </w:rPr>
              <w:t>原则仅委托对个体经营者、个人、</w:t>
            </w:r>
            <w:r>
              <w:rPr>
                <w:rFonts w:hint="eastAsia" w:ascii="Times New Roman" w:hAnsi="方正仿宋_GBK" w:eastAsia="宋体" w:cs="方正仿宋_GBK"/>
                <w:color w:val="0000FF"/>
                <w:kern w:val="0"/>
                <w:sz w:val="21"/>
                <w:szCs w:val="21"/>
              </w:rPr>
              <w:t>对非经营性单位和个人</w:t>
            </w:r>
            <w:r>
              <w:rPr>
                <w:rFonts w:hint="eastAsia" w:ascii="Times New Roman" w:hAnsi="方正仿宋_GBK" w:eastAsia="宋体" w:cs="方正仿宋_GBK"/>
                <w:color w:val="0000FF"/>
                <w:kern w:val="0"/>
                <w:sz w:val="21"/>
                <w:szCs w:val="21"/>
                <w:lang w:eastAsia="zh-CN"/>
              </w:rPr>
              <w:t>的</w:t>
            </w:r>
            <w:r>
              <w:rPr>
                <w:rFonts w:hint="eastAsia" w:ascii="Times New Roman" w:hAnsi="方正仿宋_GBK" w:eastAsia="宋体" w:cs="方正仿宋_GBK"/>
                <w:color w:val="0000FF"/>
                <w:kern w:val="0"/>
                <w:sz w:val="21"/>
                <w:szCs w:val="21"/>
                <w:lang w:val="en-US" w:eastAsia="zh-CN"/>
              </w:rPr>
              <w:t>处罚事项</w:t>
            </w:r>
            <w:r>
              <w:rPr>
                <w:rFonts w:hint="eastAsia" w:ascii="Times New Roman" w:hAnsi="方正仿宋_GBK" w:eastAsia="宋体" w:cs="方正仿宋_GBK"/>
                <w:color w:val="0000FF"/>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continue"/>
            <w:vAlign w:val="center"/>
          </w:tcPr>
          <w:p>
            <w:pPr>
              <w:spacing w:line="330" w:lineRule="exact"/>
              <w:jc w:val="center"/>
              <w:rPr>
                <w:rFonts w:hint="eastAsia" w:ascii="Times New Roman" w:hAnsi="方正仿宋_GBK" w:eastAsia="宋体" w:cs="方正仿宋_GBK"/>
                <w:kern w:val="0"/>
                <w:sz w:val="24"/>
                <w:lang w:val="en-US" w:eastAsia="zh-CN"/>
              </w:rPr>
            </w:pPr>
          </w:p>
        </w:tc>
        <w:tc>
          <w:tcPr>
            <w:tcW w:w="4679" w:type="dxa"/>
            <w:vAlign w:val="center"/>
          </w:tcPr>
          <w:p>
            <w:pPr>
              <w:spacing w:line="330" w:lineRule="exact"/>
              <w:jc w:val="left"/>
              <w:rPr>
                <w:rFonts w:ascii="Times New Roman" w:hAnsi="方正仿宋_GBK" w:eastAsia="宋体" w:cs="方正仿宋_GBK"/>
                <w:spacing w:val="-11"/>
                <w:kern w:val="0"/>
                <w:sz w:val="24"/>
              </w:rPr>
            </w:pPr>
            <w:r>
              <w:rPr>
                <w:rFonts w:ascii="宋体" w:hAnsi="宋体" w:eastAsia="宋体" w:cs="宋体"/>
                <w:sz w:val="24"/>
                <w:szCs w:val="24"/>
              </w:rPr>
              <w:t>在其他场所</w:t>
            </w:r>
            <w:r>
              <w:rPr>
                <w:rFonts w:ascii="Times New Roman" w:hAnsi="方正仿宋_GBK" w:eastAsia="宋体" w:cs="方正仿宋_GBK"/>
                <w:spacing w:val="-11"/>
                <w:kern w:val="0"/>
                <w:sz w:val="24"/>
              </w:rPr>
              <w:t>存在电动车</w:t>
            </w:r>
            <w:r>
              <w:rPr>
                <w:rFonts w:hint="eastAsia" w:ascii="Times New Roman" w:hAnsi="方正仿宋_GBK" w:eastAsia="宋体" w:cs="方正仿宋_GBK"/>
                <w:spacing w:val="-11"/>
                <w:kern w:val="0"/>
                <w:sz w:val="24"/>
              </w:rPr>
              <w:t>停放、</w:t>
            </w:r>
            <w:r>
              <w:rPr>
                <w:rFonts w:ascii="Times New Roman" w:hAnsi="方正仿宋_GBK" w:eastAsia="宋体" w:cs="方正仿宋_GBK"/>
                <w:spacing w:val="-11"/>
                <w:kern w:val="0"/>
                <w:sz w:val="24"/>
              </w:rPr>
              <w:t>充电</w:t>
            </w:r>
            <w:r>
              <w:rPr>
                <w:rFonts w:hint="eastAsia" w:ascii="Times New Roman" w:hAnsi="方正仿宋_GBK" w:eastAsia="宋体" w:cs="方正仿宋_GBK"/>
                <w:spacing w:val="-11"/>
                <w:kern w:val="0"/>
                <w:sz w:val="24"/>
              </w:rPr>
              <w:t>不规范</w:t>
            </w:r>
            <w:r>
              <w:rPr>
                <w:rFonts w:ascii="Times New Roman" w:hAnsi="方正仿宋_GBK" w:eastAsia="宋体" w:cs="方正仿宋_GBK"/>
                <w:spacing w:val="-11"/>
                <w:kern w:val="0"/>
                <w:sz w:val="24"/>
              </w:rPr>
              <w:t>情况</w:t>
            </w:r>
          </w:p>
        </w:tc>
        <w:tc>
          <w:tcPr>
            <w:tcW w:w="5178" w:type="dxa"/>
            <w:vAlign w:val="center"/>
          </w:tcPr>
          <w:p>
            <w:pPr>
              <w:spacing w:line="240" w:lineRule="exact"/>
              <w:jc w:val="left"/>
              <w:rPr>
                <w:rFonts w:hint="eastAsia" w:ascii="Times New Roman" w:hAnsi="方正仿宋_GBK" w:eastAsia="宋体" w:cs="方正仿宋_GBK"/>
                <w:kern w:val="0"/>
                <w:sz w:val="21"/>
                <w:szCs w:val="21"/>
                <w:lang w:val="en-US" w:eastAsia="zh-CN"/>
              </w:rPr>
            </w:pPr>
            <w:r>
              <w:rPr>
                <w:rFonts w:hint="eastAsia" w:ascii="Times New Roman" w:hAnsi="方正仿宋_GBK" w:eastAsia="宋体" w:cs="方正仿宋_GBK"/>
                <w:spacing w:val="-11"/>
                <w:kern w:val="0"/>
                <w:sz w:val="21"/>
                <w:szCs w:val="21"/>
              </w:rPr>
              <w:t>违反《中华人民共和国消防法》第二十八条，依据《中华人民共和国消防法》第六十条第三项作出行政处罚决定； 违反《贵州省消防条例》第二十四条第一项</w:t>
            </w:r>
            <w:r>
              <w:rPr>
                <w:rFonts w:hint="eastAsia" w:ascii="Times New Roman" w:hAnsi="方正仿宋_GBK" w:eastAsia="宋体" w:cs="方正仿宋_GBK"/>
                <w:spacing w:val="-11"/>
                <w:kern w:val="0"/>
                <w:sz w:val="21"/>
                <w:szCs w:val="21"/>
                <w:lang w:eastAsia="zh-CN"/>
              </w:rPr>
              <w:t>，</w:t>
            </w:r>
            <w:r>
              <w:rPr>
                <w:rFonts w:hint="eastAsia" w:ascii="Times New Roman" w:hAnsi="方正仿宋_GBK" w:eastAsia="宋体" w:cs="方正仿宋_GBK"/>
                <w:spacing w:val="-11"/>
                <w:kern w:val="0"/>
                <w:sz w:val="21"/>
                <w:szCs w:val="21"/>
              </w:rPr>
              <w:t>依据《贵州省消防条例》第五十一条第一款作出行政处罚决定；</w:t>
            </w:r>
            <w:r>
              <w:rPr>
                <w:rFonts w:hint="eastAsia" w:ascii="Times New Roman" w:hAnsi="方正仿宋_GBK" w:eastAsia="宋体" w:cs="方正仿宋_GBK"/>
                <w:spacing w:val="-11"/>
                <w:kern w:val="0"/>
                <w:sz w:val="21"/>
                <w:szCs w:val="21"/>
                <w:lang w:val="en-US" w:eastAsia="zh-CN"/>
              </w:rPr>
              <w:t>违反</w:t>
            </w:r>
            <w:r>
              <w:rPr>
                <w:rFonts w:hint="eastAsia" w:ascii="Times New Roman" w:hAnsi="方正仿宋_GBK" w:eastAsia="宋体" w:cs="方正仿宋_GBK"/>
                <w:spacing w:val="-11"/>
                <w:kern w:val="0"/>
                <w:sz w:val="21"/>
                <w:szCs w:val="21"/>
              </w:rPr>
              <w:t>《贵州省消防条例》第二十四条第三项</w:t>
            </w:r>
            <w:r>
              <w:rPr>
                <w:rFonts w:hint="eastAsia" w:ascii="Times New Roman" w:hAnsi="方正仿宋_GBK" w:eastAsia="宋体" w:cs="方正仿宋_GBK"/>
                <w:spacing w:val="-11"/>
                <w:kern w:val="0"/>
                <w:sz w:val="21"/>
                <w:szCs w:val="21"/>
                <w:lang w:eastAsia="zh-CN"/>
              </w:rPr>
              <w:t>，</w:t>
            </w:r>
            <w:r>
              <w:rPr>
                <w:rFonts w:hint="eastAsia" w:ascii="Times New Roman" w:hAnsi="方正仿宋_GBK" w:eastAsia="宋体" w:cs="方正仿宋_GBK"/>
                <w:spacing w:val="-11"/>
                <w:kern w:val="0"/>
                <w:sz w:val="21"/>
                <w:szCs w:val="21"/>
                <w:lang w:val="en-US" w:eastAsia="zh-CN"/>
              </w:rPr>
              <w:t>依据</w:t>
            </w:r>
            <w:r>
              <w:rPr>
                <w:rFonts w:hint="eastAsia" w:ascii="Times New Roman" w:hAnsi="方正仿宋_GBK" w:eastAsia="宋体" w:cs="方正仿宋_GBK"/>
                <w:spacing w:val="-11"/>
                <w:kern w:val="0"/>
                <w:sz w:val="21"/>
                <w:szCs w:val="21"/>
              </w:rPr>
              <w:t>《贵州省消防条例》第五十一条第一款作出行政处罚决定</w:t>
            </w:r>
            <w:r>
              <w:rPr>
                <w:rFonts w:hint="eastAsia" w:ascii="Times New Roman" w:hAnsi="方正仿宋_GBK" w:eastAsia="宋体" w:cs="方正仿宋_GBK"/>
                <w:spacing w:val="-11"/>
                <w:kern w:val="0"/>
                <w:sz w:val="21"/>
                <w:szCs w:val="21"/>
                <w:lang w:eastAsia="zh-CN"/>
              </w:rPr>
              <w:t>；</w:t>
            </w:r>
            <w:r>
              <w:rPr>
                <w:rFonts w:hint="eastAsia" w:ascii="Times New Roman" w:hAnsi="方正仿宋_GBK" w:eastAsia="宋体" w:cs="方正仿宋_GBK"/>
                <w:spacing w:val="-11"/>
                <w:kern w:val="0"/>
                <w:sz w:val="21"/>
                <w:szCs w:val="21"/>
              </w:rPr>
              <w:t>违反《中华人民共和国消防法》第十六条第五项，依据《中华人民共和国消防法》第六十七条作出行政处罚决定。</w:t>
            </w:r>
            <w:r>
              <w:rPr>
                <w:rFonts w:hint="eastAsia" w:ascii="Times New Roman" w:hAnsi="方正仿宋_GBK" w:eastAsia="宋体" w:cs="方正仿宋_GBK"/>
                <w:color w:val="0000FF"/>
                <w:spacing w:val="-11"/>
                <w:kern w:val="0"/>
                <w:sz w:val="21"/>
                <w:szCs w:val="21"/>
                <w:lang w:eastAsia="zh-CN"/>
              </w:rPr>
              <w:t>（</w:t>
            </w:r>
            <w:r>
              <w:rPr>
                <w:rFonts w:hint="eastAsia" w:ascii="Times New Roman" w:hAnsi="方正仿宋_GBK" w:eastAsia="宋体" w:cs="方正仿宋_GBK"/>
                <w:color w:val="0000FF"/>
                <w:spacing w:val="-11"/>
                <w:kern w:val="0"/>
                <w:sz w:val="21"/>
                <w:szCs w:val="21"/>
                <w:lang w:val="en-US" w:eastAsia="zh-CN"/>
              </w:rPr>
              <w:t>原则仅委托对个体经营者、个人、</w:t>
            </w:r>
            <w:r>
              <w:rPr>
                <w:rFonts w:hint="eastAsia" w:ascii="Times New Roman" w:hAnsi="方正仿宋_GBK" w:eastAsia="宋体" w:cs="方正仿宋_GBK"/>
                <w:color w:val="0000FF"/>
                <w:spacing w:val="-11"/>
                <w:kern w:val="0"/>
                <w:sz w:val="21"/>
                <w:szCs w:val="21"/>
              </w:rPr>
              <w:t>对非经营性单位和个人</w:t>
            </w:r>
            <w:r>
              <w:rPr>
                <w:rFonts w:hint="eastAsia" w:ascii="Times New Roman" w:hAnsi="方正仿宋_GBK" w:eastAsia="宋体" w:cs="方正仿宋_GBK"/>
                <w:color w:val="0000FF"/>
                <w:spacing w:val="-11"/>
                <w:kern w:val="0"/>
                <w:sz w:val="21"/>
                <w:szCs w:val="21"/>
                <w:lang w:eastAsia="zh-CN"/>
              </w:rPr>
              <w:t>的</w:t>
            </w:r>
            <w:r>
              <w:rPr>
                <w:rFonts w:hint="eastAsia" w:ascii="Times New Roman" w:hAnsi="方正仿宋_GBK" w:eastAsia="宋体" w:cs="方正仿宋_GBK"/>
                <w:color w:val="0000FF"/>
                <w:spacing w:val="-11"/>
                <w:kern w:val="0"/>
                <w:sz w:val="21"/>
                <w:szCs w:val="21"/>
                <w:lang w:val="en-US" w:eastAsia="zh-CN"/>
              </w:rPr>
              <w:t>处罚事项</w:t>
            </w:r>
            <w:r>
              <w:rPr>
                <w:rFonts w:hint="eastAsia" w:ascii="Times New Roman" w:hAnsi="方正仿宋_GBK" w:eastAsia="宋体" w:cs="方正仿宋_GBK"/>
                <w:color w:val="0000FF"/>
                <w:spacing w:val="-11"/>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695" w:type="dxa"/>
            <w:vMerge w:val="continue"/>
            <w:vAlign w:val="center"/>
          </w:tcPr>
          <w:p>
            <w:pPr>
              <w:spacing w:line="300" w:lineRule="exact"/>
              <w:jc w:val="center"/>
              <w:rPr>
                <w:rFonts w:ascii="Times New Roman" w:hAnsi="方正仿宋_GBK" w:eastAsia="宋体" w:cs="方正仿宋_GBK"/>
                <w:kern w:val="0"/>
                <w:sz w:val="24"/>
              </w:rPr>
            </w:pPr>
          </w:p>
        </w:tc>
        <w:tc>
          <w:tcPr>
            <w:tcW w:w="850" w:type="dxa"/>
            <w:vMerge w:val="continue"/>
            <w:vAlign w:val="center"/>
          </w:tcPr>
          <w:p>
            <w:pPr>
              <w:spacing w:line="300" w:lineRule="exact"/>
              <w:jc w:val="center"/>
              <w:rPr>
                <w:rFonts w:ascii="Times New Roman" w:hAnsi="方正仿宋_GBK" w:eastAsia="宋体" w:cs="方正仿宋_GBK"/>
                <w:kern w:val="0"/>
                <w:sz w:val="24"/>
              </w:rPr>
            </w:pPr>
          </w:p>
        </w:tc>
        <w:tc>
          <w:tcPr>
            <w:tcW w:w="708" w:type="dxa"/>
            <w:vMerge w:val="continue"/>
            <w:vAlign w:val="center"/>
          </w:tcPr>
          <w:p>
            <w:pPr>
              <w:spacing w:line="300" w:lineRule="exact"/>
              <w:jc w:val="center"/>
              <w:rPr>
                <w:rFonts w:ascii="Times New Roman" w:hAnsi="方正仿宋_GBK" w:eastAsia="宋体" w:cs="方正仿宋_GBK"/>
                <w:kern w:val="0"/>
                <w:sz w:val="24"/>
              </w:rPr>
            </w:pPr>
          </w:p>
        </w:tc>
        <w:tc>
          <w:tcPr>
            <w:tcW w:w="849" w:type="dxa"/>
            <w:vMerge w:val="continue"/>
            <w:vAlign w:val="center"/>
          </w:tcPr>
          <w:p>
            <w:pPr>
              <w:spacing w:line="300" w:lineRule="exact"/>
              <w:jc w:val="center"/>
              <w:rPr>
                <w:rFonts w:ascii="Times New Roman" w:hAnsi="方正仿宋_GBK" w:eastAsia="宋体" w:cs="方正仿宋_GBK"/>
                <w:kern w:val="0"/>
                <w:sz w:val="24"/>
              </w:rPr>
            </w:pPr>
          </w:p>
        </w:tc>
        <w:tc>
          <w:tcPr>
            <w:tcW w:w="1559" w:type="dxa"/>
            <w:vMerge w:val="restart"/>
            <w:vAlign w:val="center"/>
          </w:tcPr>
          <w:p>
            <w:pPr>
              <w:spacing w:line="330" w:lineRule="exact"/>
              <w:jc w:val="center"/>
              <w:rPr>
                <w:rFonts w:ascii="Times New Roman" w:hAnsi="方正仿宋_GBK" w:eastAsia="宋体" w:cs="方正仿宋_GBK"/>
                <w:kern w:val="0"/>
                <w:sz w:val="24"/>
              </w:rPr>
            </w:pPr>
            <w:r>
              <w:rPr>
                <w:rFonts w:hint="eastAsia" w:ascii="Times New Roman" w:hAnsi="方正仿宋_GBK" w:eastAsia="宋体" w:cs="方正仿宋_GBK"/>
                <w:kern w:val="0"/>
                <w:sz w:val="24"/>
              </w:rPr>
              <w:t>消防安全管理</w:t>
            </w:r>
          </w:p>
        </w:tc>
        <w:tc>
          <w:tcPr>
            <w:tcW w:w="4679" w:type="dxa"/>
            <w:vAlign w:val="center"/>
          </w:tcPr>
          <w:p>
            <w:pPr>
              <w:spacing w:line="330" w:lineRule="exact"/>
              <w:jc w:val="left"/>
              <w:rPr>
                <w:rFonts w:ascii="Times New Roman" w:hAnsi="方正仿宋_GBK" w:eastAsia="宋体" w:cs="方正仿宋_GBK"/>
                <w:kern w:val="0"/>
                <w:sz w:val="24"/>
              </w:rPr>
            </w:pPr>
            <w:r>
              <w:rPr>
                <w:rFonts w:hint="eastAsia" w:ascii="Times New Roman" w:hAnsi="方正仿宋_GBK" w:eastAsia="宋体" w:cs="方正仿宋_GBK"/>
                <w:kern w:val="0"/>
                <w:sz w:val="24"/>
              </w:rPr>
              <w:t>人员密集场所消防设施操作场地、消防器材摆放地点、疏散通道、安全出口是否划线标识管理</w:t>
            </w:r>
          </w:p>
        </w:tc>
        <w:tc>
          <w:tcPr>
            <w:tcW w:w="5178" w:type="dxa"/>
            <w:vMerge w:val="restart"/>
            <w:vAlign w:val="center"/>
          </w:tcPr>
          <w:p>
            <w:pPr>
              <w:spacing w:line="240" w:lineRule="exact"/>
              <w:jc w:val="left"/>
              <w:rPr>
                <w:rFonts w:ascii="Times New Roman" w:hAnsi="方正仿宋_GBK" w:eastAsia="宋体" w:cs="方正仿宋_GBK"/>
                <w:kern w:val="0"/>
                <w:sz w:val="20"/>
                <w:szCs w:val="21"/>
              </w:rPr>
            </w:pPr>
            <w:r>
              <w:rPr>
                <w:rFonts w:hint="eastAsia" w:ascii="Times New Roman" w:hAnsi="方正仿宋_GBK" w:eastAsia="宋体" w:cs="方正仿宋_GBK"/>
                <w:kern w:val="0"/>
                <w:sz w:val="21"/>
                <w:szCs w:val="21"/>
              </w:rPr>
              <w:t>违反《贵州省消防条例》第二十三条、第四十三条第一款，《贵阳市消防条例》第十五条第一项、第二项，第二十条第一款，第二十八条的行为，依据《贵州省消防条例》第四十九条第二项、第五十三条，《贵阳市消防条例》第三十五条、第三十八条、第四十二条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vMerge w:val="continue"/>
            <w:shd w:val="clear" w:color="auto" w:fill="auto"/>
            <w:vAlign w:val="top"/>
          </w:tcPr>
          <w:p>
            <w:pPr>
              <w:spacing w:line="330" w:lineRule="exact"/>
              <w:jc w:val="center"/>
              <w:rPr>
                <w:rFonts w:ascii="Times New Roman" w:hAnsi="方正仿宋_GBK" w:eastAsia="宋体" w:cs="方正仿宋_GBK"/>
                <w:spacing w:val="-6"/>
                <w:kern w:val="0"/>
                <w:sz w:val="24"/>
              </w:rPr>
            </w:pPr>
          </w:p>
        </w:tc>
        <w:tc>
          <w:tcPr>
            <w:tcW w:w="4679" w:type="dxa"/>
            <w:shd w:val="clear" w:color="auto" w:fill="FFFFFF"/>
            <w:vAlign w:val="center"/>
          </w:tcPr>
          <w:p>
            <w:pPr>
              <w:spacing w:line="330" w:lineRule="exact"/>
              <w:jc w:val="left"/>
              <w:rPr>
                <w:rFonts w:ascii="Times New Roman" w:hAnsi="方正仿宋_GBK" w:eastAsia="宋体" w:cs="方正仿宋_GBK"/>
                <w:spacing w:val="-6"/>
                <w:kern w:val="0"/>
                <w:sz w:val="24"/>
              </w:rPr>
            </w:pPr>
            <w:r>
              <w:rPr>
                <w:rFonts w:hint="eastAsia" w:ascii="Times New Roman" w:hAnsi="方正仿宋_GBK" w:eastAsia="宋体" w:cs="方正仿宋_GBK"/>
                <w:spacing w:val="-6"/>
                <w:kern w:val="0"/>
                <w:sz w:val="24"/>
              </w:rPr>
              <w:t>接到消防救援机构通知后是否对隐患进行整改的</w:t>
            </w:r>
          </w:p>
        </w:tc>
        <w:tc>
          <w:tcPr>
            <w:tcW w:w="5178" w:type="dxa"/>
            <w:vMerge w:val="continue"/>
            <w:vAlign w:val="center"/>
          </w:tcPr>
          <w:p>
            <w:pPr>
              <w:spacing w:line="300" w:lineRule="exact"/>
              <w:jc w:val="center"/>
              <w:rPr>
                <w:rFonts w:ascii="Times New Roman" w:hAnsi="方正仿宋_GBK" w:eastAsia="宋体"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695"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50"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708"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849" w:type="dxa"/>
            <w:vMerge w:val="continue"/>
            <w:shd w:val="clear" w:color="auto" w:fill="auto"/>
            <w:vAlign w:val="center"/>
          </w:tcPr>
          <w:p>
            <w:pPr>
              <w:spacing w:line="300" w:lineRule="exact"/>
              <w:jc w:val="center"/>
              <w:rPr>
                <w:rFonts w:ascii="Times New Roman" w:hAnsi="方正仿宋_GBK" w:eastAsia="宋体" w:cs="方正仿宋_GBK"/>
                <w:kern w:val="0"/>
                <w:sz w:val="24"/>
              </w:rPr>
            </w:pPr>
          </w:p>
        </w:tc>
        <w:tc>
          <w:tcPr>
            <w:tcW w:w="1559" w:type="dxa"/>
            <w:vMerge w:val="continue"/>
            <w:shd w:val="clear" w:color="auto" w:fill="auto"/>
            <w:vAlign w:val="top"/>
          </w:tcPr>
          <w:p>
            <w:pPr>
              <w:spacing w:line="330" w:lineRule="exact"/>
              <w:jc w:val="center"/>
              <w:rPr>
                <w:rFonts w:ascii="Times New Roman" w:hAnsi="方正仿宋_GBK" w:eastAsia="宋体" w:cs="方正仿宋_GBK"/>
                <w:spacing w:val="-6"/>
                <w:kern w:val="0"/>
                <w:sz w:val="24"/>
              </w:rPr>
            </w:pPr>
          </w:p>
        </w:tc>
        <w:tc>
          <w:tcPr>
            <w:tcW w:w="4679" w:type="dxa"/>
            <w:shd w:val="clear" w:color="auto" w:fill="FFFFFF"/>
            <w:vAlign w:val="center"/>
          </w:tcPr>
          <w:p>
            <w:pPr>
              <w:spacing w:line="330" w:lineRule="exact"/>
              <w:jc w:val="left"/>
              <w:rPr>
                <w:rFonts w:ascii="Times New Roman" w:hAnsi="方正仿宋_GBK" w:eastAsia="宋体" w:cs="方正仿宋_GBK"/>
                <w:spacing w:val="-6"/>
                <w:kern w:val="0"/>
                <w:sz w:val="24"/>
              </w:rPr>
            </w:pPr>
            <w:r>
              <w:rPr>
                <w:rFonts w:hint="eastAsia" w:ascii="Times New Roman" w:hAnsi="方正仿宋_GBK" w:eastAsia="宋体" w:cs="方正仿宋_GBK"/>
                <w:spacing w:val="-6"/>
                <w:kern w:val="0"/>
                <w:sz w:val="24"/>
              </w:rPr>
              <w:t>个体工商户是否制定消防安全制度、落实消防安全责任、组织防火检查</w:t>
            </w:r>
          </w:p>
        </w:tc>
        <w:tc>
          <w:tcPr>
            <w:tcW w:w="5178" w:type="dxa"/>
            <w:vMerge w:val="continue"/>
            <w:vAlign w:val="center"/>
          </w:tcPr>
          <w:p>
            <w:pPr>
              <w:spacing w:line="300" w:lineRule="exact"/>
              <w:jc w:val="center"/>
              <w:rPr>
                <w:rFonts w:ascii="Times New Roman" w:hAnsi="方正仿宋_GBK" w:eastAsia="宋体"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4518" w:type="dxa"/>
            <w:gridSpan w:val="7"/>
            <w:vAlign w:val="center"/>
          </w:tcPr>
          <w:p>
            <w:pPr>
              <w:spacing w:line="300" w:lineRule="exact"/>
              <w:jc w:val="left"/>
              <w:rPr>
                <w:rFonts w:ascii="Times New Roman" w:hAnsi="方正仿宋_GBK" w:eastAsia="宋体" w:cs="方正仿宋_GBK"/>
                <w:kern w:val="0"/>
                <w:sz w:val="24"/>
              </w:rPr>
            </w:pPr>
            <w:r>
              <w:rPr>
                <w:rFonts w:hint="eastAsia" w:ascii="Times New Roman" w:hAnsi="方正仿宋_GBK" w:eastAsia="宋体" w:cs="方正仿宋_GBK"/>
                <w:kern w:val="0"/>
                <w:sz w:val="28"/>
                <w:szCs w:val="28"/>
              </w:rPr>
              <w:t>备注：</w:t>
            </w:r>
            <w:r>
              <w:rPr>
                <w:rFonts w:hint="eastAsia" w:ascii="Times New Roman" w:hAnsi="Times New Roman" w:eastAsia="仿宋_GB2312" w:cs="Times New Roman"/>
                <w:color w:val="000000"/>
                <w:kern w:val="0"/>
                <w:sz w:val="28"/>
                <w:szCs w:val="28"/>
              </w:rPr>
              <w:t>发现违法行为不属于其法定职权或者委托职权范围的，应当将案件转交委托单位或其他单位依法处理</w:t>
            </w:r>
          </w:p>
        </w:tc>
      </w:tr>
    </w:tbl>
    <w:p>
      <w:bookmarkStart w:id="0" w:name="_GoBack"/>
      <w:bookmarkEnd w:id="0"/>
    </w:p>
    <w:sectPr>
      <w:pgSz w:w="16838" w:h="11906" w:orient="landscape"/>
      <w:pgMar w:top="0" w:right="283" w:bottom="0" w:left="2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B2A06"/>
    <w:rsid w:val="1ED34654"/>
    <w:rsid w:val="427B2A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2024-08-27T07:45:00Z</dcterms:created>
  <dc:creator>Administrator</dc:creator>
  <cp:lastModifiedBy>陈芹卉</cp:lastModifiedBy>
  <cp:lastPrinted>2024-08-28T00:52:46Z</cp:lastPrinted>
  <dcterms:modified xsi:type="dcterms:W3CDTF">2024-08-28T00:52:54Z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