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left"/>
        <w:rPr>
          <w:rFonts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附件2</w:t>
      </w:r>
    </w:p>
    <w:p>
      <w:pPr>
        <w:adjustRightInd w:val="0"/>
        <w:snapToGrid w:val="0"/>
        <w:spacing w:line="580" w:lineRule="exact"/>
        <w:jc w:val="center"/>
        <w:rPr>
          <w:rFonts w:ascii="方正小标宋简体" w:hAnsi="宋体" w:eastAsia="方正小标宋简体" w:cs="宋体"/>
          <w:bCs/>
          <w:color w:val="000000"/>
          <w:sz w:val="44"/>
          <w:szCs w:val="44"/>
        </w:rPr>
      </w:pPr>
      <w:r>
        <w:rPr>
          <w:rFonts w:hint="eastAsia" w:ascii="方正小标宋简体" w:hAnsi="宋体" w:eastAsia="方正小标宋简体" w:cs="宋体"/>
          <w:bCs/>
          <w:color w:val="000000"/>
          <w:sz w:val="44"/>
          <w:szCs w:val="44"/>
        </w:rPr>
        <w:t>观山湖区2024年第一期烟草专卖</w:t>
      </w:r>
    </w:p>
    <w:p>
      <w:pPr>
        <w:adjustRightInd w:val="0"/>
        <w:snapToGrid w:val="0"/>
        <w:spacing w:line="580" w:lineRule="exact"/>
        <w:jc w:val="center"/>
        <w:rPr>
          <w:rFonts w:ascii="方正小标宋简体" w:hAnsi="宋体" w:eastAsia="方正小标宋简体" w:cs="宋体"/>
          <w:bCs/>
          <w:color w:val="000000"/>
          <w:sz w:val="44"/>
          <w:szCs w:val="44"/>
        </w:rPr>
      </w:pPr>
      <w:r>
        <w:rPr>
          <w:rFonts w:hint="eastAsia" w:ascii="方正小标宋简体" w:hAnsi="宋体" w:eastAsia="方正小标宋简体" w:cs="宋体"/>
          <w:bCs/>
          <w:color w:val="000000"/>
          <w:sz w:val="44"/>
          <w:szCs w:val="44"/>
        </w:rPr>
        <w:t>零售许可证新办业务公告</w:t>
      </w:r>
    </w:p>
    <w:p>
      <w:pPr>
        <w:pStyle w:val="6"/>
        <w:widowControl/>
        <w:shd w:val="clear" w:color="auto" w:fill="FFFFFF"/>
        <w:spacing w:before="0" w:beforeAutospacing="0" w:after="0" w:afterAutospacing="0" w:line="580" w:lineRule="exact"/>
        <w:ind w:firstLine="640"/>
        <w:jc w:val="both"/>
        <w:rPr>
          <w:rFonts w:ascii="黑体" w:hAnsi="宋体" w:eastAsia="黑体" w:cs="黑体"/>
          <w:color w:val="000000"/>
          <w:sz w:val="32"/>
          <w:szCs w:val="32"/>
          <w:shd w:val="clear" w:color="auto" w:fill="FFFFFF"/>
        </w:rPr>
      </w:pPr>
    </w:p>
    <w:p>
      <w:pPr>
        <w:kinsoku w:val="0"/>
        <w:overflowPunct w:val="0"/>
        <w:autoSpaceDE w:val="0"/>
        <w:autoSpaceDN w:val="0"/>
        <w:adjustRightInd w:val="0"/>
        <w:snapToGrid w:val="0"/>
        <w:spacing w:line="58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依据《观山湖区烟草制品零售点合理布局规定》，综合观山湖区零售点设置现状、卷烟零售业务收益、烟草制品供给、卷烟市场需求、区域经济发展等情况，根据地方政府及烟草部门相关官方数据，我局测定2024年度</w:t>
      </w:r>
      <w:r>
        <w:rPr>
          <w:rFonts w:hint="eastAsia" w:ascii="仿宋_GB2312" w:hAnsi="仿宋" w:eastAsia="仿宋_GB2312" w:cs="仿宋"/>
          <w:bCs/>
          <w:color w:val="000000"/>
          <w:sz w:val="32"/>
          <w:szCs w:val="32"/>
        </w:rPr>
        <w:t>零售点规划总量</w:t>
      </w:r>
      <w:r>
        <w:rPr>
          <w:rFonts w:hint="eastAsia" w:ascii="仿宋_GB2312" w:hAnsi="宋体" w:eastAsia="仿宋_GB2312"/>
          <w:color w:val="000000"/>
          <w:kern w:val="0"/>
          <w:sz w:val="32"/>
          <w:szCs w:val="32"/>
        </w:rPr>
        <w:t>,并以3个月为办证批次周期，统一时间集中开放申办。现将2024年第一期烟草专卖零售许可证新办业务有关事项公告如下。</w:t>
      </w:r>
    </w:p>
    <w:p>
      <w:pPr>
        <w:kinsoku w:val="0"/>
        <w:overflowPunct w:val="0"/>
        <w:autoSpaceDE w:val="0"/>
        <w:autoSpaceDN w:val="0"/>
        <w:adjustRightInd w:val="0"/>
        <w:snapToGrid w:val="0"/>
        <w:spacing w:line="58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一、申办时间</w:t>
      </w:r>
    </w:p>
    <w:p>
      <w:pPr>
        <w:pStyle w:val="6"/>
        <w:widowControl/>
        <w:shd w:val="clear" w:color="auto" w:fill="FFFFFF"/>
        <w:kinsoku w:val="0"/>
        <w:overflowPunct w:val="0"/>
        <w:autoSpaceDE w:val="0"/>
        <w:autoSpaceDN w:val="0"/>
        <w:adjustRightInd w:val="0"/>
        <w:snapToGrid w:val="0"/>
        <w:spacing w:before="0" w:beforeAutospacing="0" w:after="0" w:afterAutospacing="0" w:line="580" w:lineRule="exact"/>
        <w:ind w:firstLine="640" w:firstLineChars="200"/>
        <w:jc w:val="both"/>
        <w:rPr>
          <w:rFonts w:ascii="仿宋_GB2312" w:hAnsi="宋体" w:eastAsia="仿宋_GB2312"/>
          <w:color w:val="000000"/>
          <w:sz w:val="32"/>
          <w:szCs w:val="32"/>
        </w:rPr>
      </w:pPr>
      <w:r>
        <w:rPr>
          <w:rFonts w:hint="eastAsia" w:ascii="仿宋_GB2312" w:hAnsi="宋体" w:eastAsia="仿宋_GB2312"/>
          <w:color w:val="000000"/>
          <w:sz w:val="32"/>
          <w:szCs w:val="32"/>
        </w:rPr>
        <w:t>本期申办时间：2024年1月31日8时30分至2024年4月1日8时30分。</w:t>
      </w:r>
    </w:p>
    <w:p>
      <w:pPr>
        <w:kinsoku w:val="0"/>
        <w:overflowPunct w:val="0"/>
        <w:autoSpaceDE w:val="0"/>
        <w:autoSpaceDN w:val="0"/>
        <w:adjustRightInd w:val="0"/>
        <w:snapToGrid w:val="0"/>
        <w:spacing w:line="580" w:lineRule="exact"/>
        <w:ind w:firstLine="640" w:firstLineChars="200"/>
        <w:rPr>
          <w:rFonts w:ascii="仿宋_GB2312" w:hAnsi="宋体" w:eastAsia="仿宋_GB2312"/>
          <w:color w:val="000000"/>
          <w:sz w:val="32"/>
          <w:szCs w:val="32"/>
        </w:rPr>
      </w:pPr>
      <w:r>
        <w:rPr>
          <w:rFonts w:hint="eastAsia" w:ascii="仿宋_GB2312" w:hAnsi="仿宋" w:eastAsia="仿宋_GB2312" w:cs="仿宋"/>
          <w:bCs/>
          <w:color w:val="000000"/>
          <w:sz w:val="32"/>
          <w:szCs w:val="32"/>
        </w:rPr>
        <w:t>本期申办开始后至结束时间前提交的新办申请，按照先申请先受理、先受理先办理的原则，在本</w:t>
      </w:r>
      <w:r>
        <w:rPr>
          <w:rFonts w:hint="eastAsia" w:ascii="仿宋_GB2312" w:hAnsi="宋体" w:eastAsia="仿宋_GB2312"/>
          <w:color w:val="000000"/>
          <w:sz w:val="32"/>
          <w:szCs w:val="32"/>
        </w:rPr>
        <w:t>期可增设零售点数量范围内</w:t>
      </w:r>
      <w:r>
        <w:rPr>
          <w:rFonts w:hint="eastAsia" w:ascii="仿宋_GB2312" w:hAnsi="仿宋" w:eastAsia="仿宋_GB2312" w:cs="仿宋"/>
          <w:bCs/>
          <w:color w:val="000000"/>
          <w:sz w:val="32"/>
          <w:szCs w:val="32"/>
        </w:rPr>
        <w:t>审批办理</w:t>
      </w:r>
      <w:r>
        <w:rPr>
          <w:rFonts w:hint="eastAsia" w:ascii="仿宋_GB2312" w:hAnsi="宋体" w:eastAsia="仿宋_GB2312"/>
          <w:color w:val="000000"/>
          <w:sz w:val="32"/>
          <w:szCs w:val="32"/>
        </w:rPr>
        <w:t>。</w:t>
      </w:r>
    </w:p>
    <w:p>
      <w:pPr>
        <w:pStyle w:val="6"/>
        <w:widowControl/>
        <w:shd w:val="clear" w:color="auto" w:fill="FFFFFF"/>
        <w:kinsoku w:val="0"/>
        <w:overflowPunct w:val="0"/>
        <w:autoSpaceDE w:val="0"/>
        <w:autoSpaceDN w:val="0"/>
        <w:adjustRightInd w:val="0"/>
        <w:snapToGrid w:val="0"/>
        <w:spacing w:before="0" w:beforeAutospacing="0" w:after="0" w:afterAutospacing="0" w:line="580" w:lineRule="exact"/>
        <w:ind w:firstLine="640" w:firstLineChars="200"/>
        <w:jc w:val="both"/>
        <w:rPr>
          <w:rFonts w:ascii="黑体" w:hAnsi="黑体" w:eastAsia="黑体" w:cs="黑体"/>
          <w:color w:val="000000"/>
          <w:sz w:val="32"/>
          <w:szCs w:val="32"/>
        </w:rPr>
      </w:pPr>
      <w:r>
        <w:rPr>
          <w:rFonts w:hint="eastAsia" w:ascii="黑体" w:hAnsi="黑体" w:eastAsia="黑体" w:cs="黑体"/>
          <w:color w:val="000000"/>
          <w:sz w:val="32"/>
          <w:szCs w:val="32"/>
        </w:rPr>
        <w:t>二、申请方式及渠道</w:t>
      </w:r>
    </w:p>
    <w:p>
      <w:pPr>
        <w:kinsoku w:val="0"/>
        <w:wordWrap w:val="0"/>
        <w:overflowPunct w:val="0"/>
        <w:autoSpaceDE w:val="0"/>
        <w:autoSpaceDN w:val="0"/>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（一）网上申请。通过国家烟草专卖局政务服务行政许可网上办理平台（网址：</w:t>
      </w:r>
      <w:r>
        <w:rPr>
          <w:rFonts w:hint="eastAsia" w:ascii="仿宋_GB2312" w:hAnsi="仿宋_GB2312" w:eastAsia="仿宋_GB2312" w:cs="仿宋_GB2312"/>
          <w:color w:val="000000"/>
          <w:sz w:val="30"/>
          <w:szCs w:val="30"/>
        </w:rPr>
        <w:t>http://www.tobacco.gov.cn/gjyc/bsfw/bsfw.shtml</w:t>
      </w:r>
      <w:r>
        <w:rPr>
          <w:rFonts w:hint="eastAsia" w:ascii="仿宋_GB2312" w:hAnsi="宋体" w:eastAsia="仿宋_GB2312"/>
          <w:color w:val="000000"/>
          <w:sz w:val="32"/>
          <w:szCs w:val="32"/>
        </w:rPr>
        <w:t>）、贵州政务服务网（网址：https://zwfw.guizhou.gov.cn/520103/index.html）、贵州多彩宝手机APP等政府向社会公布的便民服务网络平台在线提出申请。</w:t>
      </w:r>
    </w:p>
    <w:p>
      <w:pPr>
        <w:kinsoku w:val="0"/>
        <w:overflowPunct w:val="0"/>
        <w:autoSpaceDE w:val="0"/>
        <w:autoSpaceDN w:val="0"/>
        <w:adjustRightInd w:val="0"/>
        <w:snapToGrid w:val="0"/>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现场申请。在观山湖区烟草专卖局（地址：观山湖区桃林路金北大厦25楼）、观山湖区政务服务中心以书面方式提出申请。受理机关按照收到申请的先后顺序审查申请资料，申请时间以录入系统后显示的申请时间为准。</w:t>
      </w:r>
    </w:p>
    <w:p>
      <w:pPr>
        <w:kinsoku w:val="0"/>
        <w:overflowPunct w:val="0"/>
        <w:autoSpaceDE w:val="0"/>
        <w:autoSpaceDN w:val="0"/>
        <w:adjustRightInd w:val="0"/>
        <w:snapToGrid w:val="0"/>
        <w:spacing w:line="580" w:lineRule="exact"/>
        <w:ind w:firstLine="640" w:firstLineChars="200"/>
        <w:rPr>
          <w:rFonts w:ascii="黑体" w:hAnsi="黑体" w:eastAsia="黑体" w:cs="宋体"/>
          <w:color w:val="000000"/>
          <w:sz w:val="32"/>
          <w:szCs w:val="32"/>
        </w:rPr>
      </w:pPr>
      <w:r>
        <w:rPr>
          <w:rFonts w:hint="eastAsia" w:ascii="黑体" w:hAnsi="黑体" w:eastAsia="黑体" w:cs="宋体"/>
          <w:color w:val="000000"/>
          <w:sz w:val="32"/>
          <w:szCs w:val="32"/>
        </w:rPr>
        <w:t>三、其他事项</w:t>
      </w:r>
    </w:p>
    <w:p>
      <w:pPr>
        <w:kinsoku w:val="0"/>
        <w:overflowPunct w:val="0"/>
        <w:autoSpaceDE w:val="0"/>
        <w:autoSpaceDN w:val="0"/>
        <w:adjustRightInd w:val="0"/>
        <w:snapToGrid w:val="0"/>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（一）符合《观山湖区烟草制品零售点合理布局规定》第十条、第十一条规定情形的，不受办证批次周期有关规则限制。</w:t>
      </w:r>
    </w:p>
    <w:p>
      <w:pPr>
        <w:kinsoku w:val="0"/>
        <w:overflowPunct w:val="0"/>
        <w:autoSpaceDE w:val="0"/>
        <w:autoSpaceDN w:val="0"/>
        <w:adjustRightInd w:val="0"/>
        <w:snapToGrid w:val="0"/>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二）本期申办开始前提交的新办申请，按上一周期公布的单元格可设置零售点数量资源执行。在提前公示期内提交新办申请，导致已公布的下一周期可设置零售点数量资源实际减少的，另行发布补充公告解释说明。</w:t>
      </w:r>
    </w:p>
    <w:p>
      <w:pPr>
        <w:kinsoku w:val="0"/>
        <w:overflowPunct w:val="0"/>
        <w:autoSpaceDE w:val="0"/>
        <w:autoSpaceDN w:val="0"/>
        <w:adjustRightInd w:val="0"/>
        <w:snapToGrid w:val="0"/>
        <w:spacing w:line="580" w:lineRule="exact"/>
        <w:ind w:firstLine="640" w:firstLineChars="200"/>
        <w:rPr>
          <w:rFonts w:ascii="仿宋_GB2312" w:hAnsi="仿宋_GB2312" w:eastAsia="仿宋_GB2312" w:cs="仿宋_GB2312"/>
          <w:color w:val="000000"/>
          <w:sz w:val="32"/>
          <w:szCs w:val="32"/>
        </w:rPr>
      </w:pPr>
      <w:r>
        <w:rPr>
          <w:rFonts w:hint="eastAsia" w:ascii="仿宋_GB2312" w:hAnsi="宋体" w:eastAsia="仿宋_GB2312"/>
          <w:color w:val="000000"/>
          <w:sz w:val="32"/>
          <w:szCs w:val="32"/>
        </w:rPr>
        <w:t>（三）观山湖区烟草专卖局咨询电话：0851-84116127,监督电话：12313。</w:t>
      </w:r>
      <w:r>
        <w:rPr>
          <w:rFonts w:hint="eastAsia" w:ascii="仿宋_GB2312" w:hAnsi="仿宋_GB2312" w:eastAsia="仿宋_GB2312" w:cs="仿宋_GB2312"/>
          <w:color w:val="000000"/>
          <w:sz w:val="32"/>
          <w:szCs w:val="32"/>
        </w:rPr>
        <w:t>欢迎广大群众通过公布的渠道进行监督，同时也可致电咨询查核许可证办理有关情况。</w:t>
      </w:r>
    </w:p>
    <w:p>
      <w:pPr>
        <w:kinsoku w:val="0"/>
        <w:overflowPunct w:val="0"/>
        <w:autoSpaceDE w:val="0"/>
        <w:autoSpaceDN w:val="0"/>
        <w:adjustRightInd w:val="0"/>
        <w:snapToGrid w:val="0"/>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四）贵阳市观山湖区烟草专卖局未授权委托任何第三方办理烟草专卖零售许可证，如遇任何单位或个人称其是观山湖区烟草专卖局委托办理烟草专卖零售许可证的，请及时拨打12313举报电话或我单位办公室电话0851-84116127。</w:t>
      </w:r>
    </w:p>
    <w:p>
      <w:pPr>
        <w:kinsoku w:val="0"/>
        <w:overflowPunct w:val="0"/>
        <w:autoSpaceDE w:val="0"/>
        <w:autoSpaceDN w:val="0"/>
        <w:adjustRightInd w:val="0"/>
        <w:snapToGrid w:val="0"/>
        <w:spacing w:line="58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以上未尽事宜，由观山湖区烟草专卖局负责解释。</w:t>
      </w:r>
    </w:p>
    <w:p>
      <w:pPr>
        <w:pStyle w:val="15"/>
        <w:kinsoku w:val="0"/>
        <w:overflowPunct w:val="0"/>
        <w:autoSpaceDE w:val="0"/>
        <w:autoSpaceDN w:val="0"/>
        <w:adjustRightInd w:val="0"/>
        <w:snapToGrid w:val="0"/>
        <w:spacing w:line="580" w:lineRule="exact"/>
        <w:ind w:firstLine="640"/>
        <w:rPr>
          <w:rFonts w:ascii="仿宋_GB2312" w:hAnsi="宋体" w:eastAsia="仿宋_GB2312"/>
          <w:color w:val="000000"/>
          <w:sz w:val="32"/>
          <w:szCs w:val="32"/>
        </w:rPr>
      </w:pPr>
    </w:p>
    <w:p>
      <w:pPr>
        <w:pStyle w:val="15"/>
        <w:kinsoku w:val="0"/>
        <w:overflowPunct w:val="0"/>
        <w:autoSpaceDE w:val="0"/>
        <w:autoSpaceDN w:val="0"/>
        <w:adjustRightInd w:val="0"/>
        <w:snapToGrid w:val="0"/>
        <w:spacing w:line="580" w:lineRule="exact"/>
        <w:ind w:firstLine="640"/>
        <w:rPr>
          <w:color w:val="000000"/>
        </w:rPr>
      </w:pPr>
      <w:r>
        <w:rPr>
          <w:rFonts w:hint="eastAsia" w:ascii="仿宋_GB2312" w:hAnsi="宋体" w:eastAsia="仿宋_GB2312"/>
          <w:color w:val="000000"/>
          <w:sz w:val="32"/>
          <w:szCs w:val="32"/>
        </w:rPr>
        <w:t>附件：观山湖区2024年第一期烟草制品零售点可设置数量分配表</w:t>
      </w:r>
    </w:p>
    <w:p>
      <w:pPr>
        <w:pStyle w:val="6"/>
        <w:widowControl/>
        <w:shd w:val="clear" w:color="auto" w:fill="FFFFFF"/>
        <w:spacing w:before="0" w:beforeAutospacing="0" w:after="0" w:afterAutospacing="0" w:line="580" w:lineRule="exact"/>
        <w:ind w:right="160"/>
        <w:jc w:val="right"/>
        <w:rPr>
          <w:rFonts w:ascii="仿宋_GB2312" w:hAnsi="宋体" w:eastAsia="仿宋_GB2312"/>
          <w:color w:val="000000"/>
          <w:kern w:val="2"/>
          <w:sz w:val="32"/>
          <w:szCs w:val="32"/>
        </w:rPr>
      </w:pPr>
    </w:p>
    <w:p>
      <w:pPr>
        <w:pStyle w:val="6"/>
        <w:widowControl/>
        <w:shd w:val="clear" w:color="auto" w:fill="FFFFFF"/>
        <w:spacing w:before="0" w:beforeAutospacing="0" w:after="0" w:afterAutospacing="0" w:line="580" w:lineRule="exact"/>
        <w:jc w:val="right"/>
        <w:rPr>
          <w:rFonts w:ascii="仿宋_GB2312" w:hAnsi="宋体" w:eastAsia="仿宋_GB2312"/>
          <w:color w:val="000000"/>
          <w:kern w:val="2"/>
          <w:sz w:val="32"/>
          <w:szCs w:val="32"/>
        </w:rPr>
      </w:pPr>
    </w:p>
    <w:p>
      <w:pPr>
        <w:pStyle w:val="6"/>
        <w:widowControl/>
        <w:shd w:val="clear" w:color="auto" w:fill="FFFFFF"/>
        <w:spacing w:before="0" w:beforeAutospacing="0" w:after="0" w:afterAutospacing="0" w:line="580" w:lineRule="exact"/>
        <w:jc w:val="center"/>
        <w:rPr>
          <w:rFonts w:ascii="仿宋_GB2312" w:hAnsi="宋体" w:eastAsia="仿宋_GB2312"/>
          <w:color w:val="000000"/>
          <w:kern w:val="2"/>
          <w:sz w:val="32"/>
          <w:szCs w:val="32"/>
        </w:rPr>
      </w:pPr>
      <w:r>
        <w:rPr>
          <w:rFonts w:hint="eastAsia" w:ascii="仿宋_GB2312" w:hAnsi="宋体" w:eastAsia="仿宋_GB2312"/>
          <w:color w:val="000000"/>
          <w:kern w:val="2"/>
          <w:sz w:val="32"/>
          <w:szCs w:val="32"/>
        </w:rPr>
        <w:t xml:space="preserve">                           观山湖区烟草专卖局</w:t>
      </w:r>
    </w:p>
    <w:p>
      <w:pPr>
        <w:wordWrap w:val="0"/>
        <w:adjustRightInd w:val="0"/>
        <w:snapToGrid w:val="0"/>
        <w:spacing w:line="580" w:lineRule="exact"/>
        <w:jc w:val="right"/>
        <w:rPr>
          <w:rFonts w:ascii="仿宋_GB2312" w:hAnsi="宋体" w:eastAsia="仿宋_GB2312"/>
          <w:color w:val="000000"/>
          <w:sz w:val="32"/>
          <w:szCs w:val="32"/>
        </w:rPr>
        <w:sectPr>
          <w:pgSz w:w="11906" w:h="16838"/>
          <w:pgMar w:top="2155" w:right="1531" w:bottom="1701" w:left="1531" w:header="851" w:footer="992" w:gutter="0"/>
          <w:cols w:space="720" w:num="1"/>
          <w:docGrid w:linePitch="312" w:charSpace="0"/>
        </w:sectPr>
      </w:pPr>
      <w:r>
        <w:rPr>
          <w:rFonts w:hint="eastAsia" w:ascii="仿宋_GB2312" w:hAnsi="宋体" w:eastAsia="仿宋_GB2312"/>
          <w:color w:val="000000"/>
          <w:sz w:val="32"/>
          <w:szCs w:val="32"/>
        </w:rPr>
        <w:t xml:space="preserve">2024年1月16日      </w:t>
      </w:r>
    </w:p>
    <w:p>
      <w:pPr>
        <w:adjustRightInd w:val="0"/>
        <w:snapToGrid w:val="0"/>
        <w:spacing w:line="580" w:lineRule="exact"/>
        <w:jc w:val="left"/>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附件：</w:t>
      </w:r>
    </w:p>
    <w:p>
      <w:pPr>
        <w:adjustRightInd w:val="0"/>
        <w:snapToGrid w:val="0"/>
        <w:spacing w:line="240" w:lineRule="atLeast"/>
        <w:jc w:val="center"/>
        <w:rPr>
          <w:rFonts w:ascii="方正小标宋简体" w:hAnsi="宋体" w:eastAsia="方正小标宋简体" w:cs="宋体"/>
          <w:bCs/>
          <w:color w:val="000000"/>
          <w:sz w:val="44"/>
          <w:szCs w:val="44"/>
        </w:rPr>
      </w:pPr>
      <w:r>
        <w:rPr>
          <w:rFonts w:hint="eastAsia" w:ascii="方正小标宋简体" w:hAnsi="宋体" w:eastAsia="方正小标宋简体" w:cs="宋体"/>
          <w:bCs/>
          <w:color w:val="000000"/>
          <w:sz w:val="44"/>
          <w:szCs w:val="44"/>
        </w:rPr>
        <w:t>观山湖区2024年第一期烟草制品零售点可设置数量分配表</w:t>
      </w:r>
    </w:p>
    <w:p>
      <w:pPr>
        <w:adjustRightInd w:val="0"/>
        <w:snapToGrid w:val="0"/>
        <w:spacing w:line="240" w:lineRule="atLeast"/>
        <w:ind w:left="720" w:hanging="720" w:hangingChars="300"/>
        <w:jc w:val="left"/>
        <w:rPr>
          <w:rFonts w:ascii="宋体" w:hAnsi="宋体" w:cs="黑体"/>
          <w:color w:val="000000"/>
          <w:sz w:val="24"/>
        </w:rPr>
      </w:pPr>
      <w:r>
        <w:rPr>
          <w:rFonts w:ascii="宋体" w:hAnsi="宋体" w:cs="黑体"/>
          <w:color w:val="000000"/>
          <w:sz w:val="24"/>
        </w:rPr>
        <w:br w:type="textWrapping" w:clear="all"/>
      </w:r>
    </w:p>
    <w:tbl>
      <w:tblPr>
        <w:tblStyle w:val="7"/>
        <w:tblW w:w="12048" w:type="dxa"/>
        <w:jc w:val="center"/>
        <w:tblLayout w:type="autofit"/>
        <w:tblCellMar>
          <w:top w:w="0" w:type="dxa"/>
          <w:left w:w="108" w:type="dxa"/>
          <w:bottom w:w="0" w:type="dxa"/>
          <w:right w:w="108" w:type="dxa"/>
        </w:tblCellMar>
      </w:tblPr>
      <w:tblGrid>
        <w:gridCol w:w="639"/>
        <w:gridCol w:w="1487"/>
        <w:gridCol w:w="1276"/>
        <w:gridCol w:w="2877"/>
        <w:gridCol w:w="1233"/>
        <w:gridCol w:w="1134"/>
        <w:gridCol w:w="1276"/>
        <w:gridCol w:w="1134"/>
        <w:gridCol w:w="992"/>
      </w:tblGrid>
      <w:tr>
        <w:tblPrEx>
          <w:tblCellMar>
            <w:top w:w="0" w:type="dxa"/>
            <w:left w:w="108" w:type="dxa"/>
            <w:bottom w:w="0" w:type="dxa"/>
            <w:right w:w="108" w:type="dxa"/>
          </w:tblCellMar>
        </w:tblPrEx>
        <w:trPr>
          <w:trHeight w:val="1035" w:hRule="atLeast"/>
          <w:jc w:val="center"/>
        </w:trPr>
        <w:tc>
          <w:tcPr>
            <w:tcW w:w="63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序号</w:t>
            </w:r>
          </w:p>
        </w:tc>
        <w:tc>
          <w:tcPr>
            <w:tcW w:w="148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一级单元格</w:t>
            </w:r>
          </w:p>
        </w:tc>
        <w:tc>
          <w:tcPr>
            <w:tcW w:w="12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二级单元格</w:t>
            </w:r>
          </w:p>
        </w:tc>
        <w:tc>
          <w:tcPr>
            <w:tcW w:w="287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三级单元格</w:t>
            </w:r>
          </w:p>
        </w:tc>
        <w:tc>
          <w:tcPr>
            <w:tcW w:w="123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零售点设置数量上限（个）</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现有零售点数量（个）</w:t>
            </w:r>
          </w:p>
        </w:tc>
        <w:tc>
          <w:tcPr>
            <w:tcW w:w="12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本期可增设零售点数量（个）</w:t>
            </w:r>
          </w:p>
        </w:tc>
        <w:tc>
          <w:tcPr>
            <w:tcW w:w="113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间距标准（米）</w:t>
            </w:r>
          </w:p>
        </w:tc>
        <w:tc>
          <w:tcPr>
            <w:tcW w:w="992"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黑体" w:hAnsi="黑体" w:eastAsia="黑体" w:cs="宋体"/>
                <w:color w:val="000000" w:themeColor="text1"/>
                <w:kern w:val="0"/>
                <w:szCs w:val="21"/>
              </w:rPr>
            </w:pPr>
            <w:r>
              <w:rPr>
                <w:rFonts w:hint="eastAsia" w:ascii="黑体" w:hAnsi="黑体" w:eastAsia="黑体" w:cs="宋体"/>
                <w:color w:val="000000" w:themeColor="text1"/>
                <w:kern w:val="0"/>
                <w:szCs w:val="21"/>
              </w:rPr>
              <w:t>备注</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w:t>
            </w:r>
          </w:p>
        </w:tc>
        <w:tc>
          <w:tcPr>
            <w:tcW w:w="148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世纪城街道</w:t>
            </w: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佑瑞社区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龙泉苑街、乾山公园、贵阳世纪金源大饭店、百花大道、金阳南路合围区域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14</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兰凯社区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龙凯路、合肥路、兰州路、龙锦路合围区域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嘉禧社区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福兴路、金源街、白龙洞路、龙吉路、清怡路合围区域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17</w:t>
            </w:r>
          </w:p>
        </w:tc>
        <w:tc>
          <w:tcPr>
            <w:tcW w:w="1134"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慧慈社区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白龙洞路、龙锦路、庄园路、合肥路、北京西路、珍珠泉街合围区域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17</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昌祥社区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白龙洞路、金源街、北京西路、龙吉路合围区域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晖福社区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龙城壹号、兰州路、贵阳世纪城龙福苑、贵阳世纪城龙晖苑、金源街合围区域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13</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景怡苑居委会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黔灵山路、明诚景怡苑东区、华东师范大学附属贵阳学校、富贵缘、金阳南路合围区域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睿力上城居委会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富贵缘、贵阳市第一实验小学、龙泉苑街、金阳南路合围区域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观山小区居委会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黔灵山路、观山小区合围区域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道龙兴社区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贵阳世纪城龙兴晖苑、福州街、龙泉苑街、贵阳市第一实验小学合围区域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金谷苑居委会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黔灵山路、金谷苑合围区域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锦祺社区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兰州路、合肥路、龙锦路、珍珠泉街合围区域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龙凯东苑社区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世纪城小学、数博大道长岭南路、合肥路、龙凯路、龙锦路合围区域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19</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龙吉社区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龙吉路、龙吉路、世纪金源购物中心、福州街合围区域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龙宇社区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黔灵山路、世纪城小学、福建路、龙泉苑街合围区域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103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16</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龙泉村委会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北京西路、合肥路、百花大道、世纪金源购物中心合围区域（除龙泉村委会万熙城、龙泉村委会恒大中央广场）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29</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17</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龙泉村委会万熙城</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18</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龙泉村委会恒大中央广场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龙泉社区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白龙洞路、珍珠泉街、北京西路、金源街合围区域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34</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20</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龙泽社区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龙泉苑街、福州街、国贸时代购物公园、乾山公园合围区域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21</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龙盛社区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龙泉苑街、金源街、白龙洞路合围区域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龙耀社区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福建路、龙锦路、兰州路、龙泉苑街合围区域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龙贤社区</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龙泉苑街、贵阳世纪城龙晖苑、锦绣公园、白龙洞路、金源街合围区域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24</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24</w:t>
            </w:r>
          </w:p>
        </w:tc>
        <w:tc>
          <w:tcPr>
            <w:tcW w:w="148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云潭街道</w:t>
            </w: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上麦村委会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金阳站、宾阳大道、观清路、鸡脚坝大坡、白岩关合围区域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下麦村委会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贵金高速、云潭北路、地铁1号线老湾塘、阅山湖公园段、贵阳绕城高速合围区域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58</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26</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下麦村将军山楼盘</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14</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27</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宇虹居委会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中南紫云集、金花路、兴筑路、宾阳大道合围区域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28</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绿洲湾居委会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金珠西路、绿洲湾小区、林城西路、绿洲湾小区合围区域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13</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阅山湖居委会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地铁1号线老湾塘、阅山湖公园段、云潭北路、观山西路、宾阳大道合围区域（除阅山湖居委会中铁阅山湖）</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43</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30</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中铁阅山湖</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31</w:t>
            </w:r>
          </w:p>
        </w:tc>
        <w:tc>
          <w:tcPr>
            <w:tcW w:w="148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宾阳街道</w:t>
            </w: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二甫村委会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王家坟、金清大道、万科新都荟、贵黄高速、宾阳大道、西南上城澜山府合围区域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103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小箐村委会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兴筑路、云潭南路、王家坟、北京西路、商城西路合围区域（除碧桂园、西南上城一期、西南商贸城、贵阳职业技术学院）</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小箐村委会碧桂园</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小箐村委会西南上城一期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33</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西南商贸城</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36</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贵阳职业技术学院</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37</w:t>
            </w:r>
          </w:p>
        </w:tc>
        <w:tc>
          <w:tcPr>
            <w:tcW w:w="148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朱昌镇</w:t>
            </w: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平桥第一居委会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平桥第一居委会</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38</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平桥第三居委会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平桥第三居委会</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平桥第二居委会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平桥第二居委会</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40</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朱昌居委会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朱昌居委会辖区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41</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朱昌村委会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蚂蝗街、101乡道、青山、化高路、二朱路、朱昌小学、贵阳市观山湖区朱昌中学合围区域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石头村委会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地铁1号线窦官、下麦西段、猫关大坡、贵阳绕城高速、鸡脚坝大坡、湖山郡、百花新城、石马坡合围区域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石硐居委会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石硐居委会辖区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103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窦官村委会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野猪大坡、老板林、野猫大坡、茅关、贵阳绕城高速、猫关大坡、湖山郡、耿冢大坡、大庙山、岩山、羊猫山、青山合围区域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27</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茶饭村委会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猫山坡、岩山、羊猫山、101乡道、营盘坡合围区域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13</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46</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赵官村委会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大神树、凉风洞、马鞍山、陡山坡、阳斗大坡、石山、菜鸡坡合围区域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47</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郝官村委会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阳斗大坡、大坝山、庙山、凌家坝合围区域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19</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48</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金钟村委会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百花湖、朱昌小学、贵阳市观山湖区朱昌中学、贵阳百花湖风景名胜区合围区域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长冲村委会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庙山、鸡山大坡、野猪大坡、耿冢大坡、耕种、大庙山、猫山坡、姜家合围区域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19</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103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青龙村委会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水电九局平桥住宅基地、营盘坡、班坡上、蚂蝗街、贵阳百花湖风景名胜区、二朱路、观音山度假村、百花湖森林公园、百花湖合围区域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51</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高寨村委会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观音山度假村、百花湖森林公园、黄桶大坡、二岩大坡、化高路合围区域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103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麦乃村委会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百花湖森林公园、观山湖区朱昌镇麦乃小学、石马坡、鸡脚坝大坡、栗木大山、勾腰坡、麦西坡、黄桶大坡合围区域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53</w:t>
            </w:r>
          </w:p>
        </w:tc>
        <w:tc>
          <w:tcPr>
            <w:tcW w:w="148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百花湖镇</w:t>
            </w: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三堡村委会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茅坡寺、八百虎、百花湖、高坡、半边岩、九龙山合围区域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三屯村委会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高坡、百花湖、姚家寨、背后云合围区域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上麦城村委会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木老冲4号大桥、木老冲、兰家湾、大坡上、梁子上、九里菁、大凹、茅坡寺合围区域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56</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下麦城村委会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筑大高速、摆金坡、茨梨坑、兰家湾、196县道合围区域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57</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云归村委会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宋家头顶、九龙山、杨家寨、燕子山、云归山合围区域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58</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哪嘎村委会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大坟田、石山、椿菜坡、烂田湾、大丫口合围区域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坪山村委会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老钱山、菜鸡坡、凌家坝、红灯坡、摆金坡、茨梨坑、大坡上合围区域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60</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杨家庄村委会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椿菜坡、三岔土、筑大高速、椿菜坡合围区域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61</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毛栗村委会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九里菁、贵阳华侨中学、九龙山青少年营地、九里菁合围区域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温水村委会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风坡、高寨大坡、拉戛、筑大高速、山老地合围区域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19</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百花湖居委会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百花湖居委会辖区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百花湖村委会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梁子上、013乡道、百花湖、贵阳华侨中学合围区域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盘龙洞村委会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盘龙洞、高枧、茶山坡、宋家头顶、羊昌坡合围区域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66</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石操村委会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煤土湾、螺丝凼、九焰大坡、皂角丫、大荒土、砂场、大水井、鱼公滩合围区域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67</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竹林村委会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红灯坡、姜家、百花湖、梁子上合围区域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68</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萝卜哨村委会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杨家寨、背后云、百花湖、鸡飞山合围区域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谷腊村委会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筑大高速、大凹、茅坡寺、半边岩、牛角大坡合围区域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70</w:t>
            </w:r>
          </w:p>
        </w:tc>
        <w:tc>
          <w:tcPr>
            <w:tcW w:w="148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观山街道</w:t>
            </w: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北大梦想城居委会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梦想天街、西二环、宏运大道、凯里路合围区域（除北大资源梦想城、火车北站）</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71</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北大资源梦想城</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火车北站</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103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大关村委会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长岭坡国家森林公园、俊发黑石湿地公园、尖顶坡、寻梦谷山庄、贵阳北站、黔灵湖大桥左线桥、西二环合围区域（除贵阳北站）</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贵阳北站</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29</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103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新寨村委会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观山湖区第五中学、凯里路、创新东路、西二环、贵阳市观山湖区书锦学院、贵遵路、同城南路、贵阳市观山湖区树才学校合围区域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48</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103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76</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金海域居委会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黔灵山路、化建虹湾小区、贵阳工业职业技术学院、数博大道长岭南路合围区域（不含贵阳工业职业技术学院内）</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1035" w:hRule="atLeast"/>
          <w:jc w:val="center"/>
        </w:trPr>
        <w:tc>
          <w:tcPr>
            <w:tcW w:w="639"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000000" w:fill="FFFFFF"/>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贵阳工业职业技术学院教师生活区</w:t>
            </w:r>
          </w:p>
        </w:tc>
        <w:tc>
          <w:tcPr>
            <w:tcW w:w="1233" w:type="dxa"/>
            <w:tcBorders>
              <w:top w:val="nil"/>
              <w:left w:val="nil"/>
              <w:bottom w:val="single" w:color="auto" w:sz="8" w:space="0"/>
              <w:right w:val="single" w:color="auto" w:sz="8" w:space="0"/>
            </w:tcBorders>
            <w:shd w:val="clear" w:color="000000" w:fill="FFFFFF"/>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w:t>
            </w:r>
          </w:p>
        </w:tc>
        <w:tc>
          <w:tcPr>
            <w:tcW w:w="1134" w:type="dxa"/>
            <w:tcBorders>
              <w:top w:val="nil"/>
              <w:left w:val="nil"/>
              <w:bottom w:val="single" w:color="auto" w:sz="8" w:space="0"/>
              <w:right w:val="single" w:color="auto" w:sz="8" w:space="0"/>
            </w:tcBorders>
            <w:shd w:val="clear" w:color="000000" w:fill="FFFFFF"/>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000000" w:fill="FFFFFF"/>
            <w:vAlign w:val="center"/>
          </w:tcPr>
          <w:p>
            <w:pPr>
              <w:widowControl/>
              <w:jc w:val="center"/>
              <w:rPr>
                <w:rFonts w:ascii="仿宋_GB2312" w:hAnsi="宋体" w:eastAsia="仿宋_GB2312" w:cs="宋体"/>
                <w:b/>
                <w:bCs/>
                <w:color w:val="000000" w:themeColor="text1"/>
                <w:kern w:val="0"/>
                <w:szCs w:val="21"/>
              </w:rPr>
            </w:pPr>
            <w:r>
              <w:rPr>
                <w:rFonts w:hint="eastAsia" w:ascii="仿宋_GB2312" w:hAnsi="宋体" w:eastAsia="仿宋_GB2312" w:cs="宋体"/>
                <w:b/>
                <w:bCs/>
                <w:color w:val="000000" w:themeColor="text1"/>
                <w:kern w:val="0"/>
                <w:szCs w:val="21"/>
              </w:rPr>
              <w:t>本单元格属特殊区域，不受距离限制</w:t>
            </w:r>
          </w:p>
        </w:tc>
        <w:tc>
          <w:tcPr>
            <w:tcW w:w="992" w:type="dxa"/>
            <w:tcBorders>
              <w:top w:val="nil"/>
              <w:left w:val="nil"/>
              <w:bottom w:val="single" w:color="auto" w:sz="8" w:space="0"/>
              <w:right w:val="single" w:color="auto" w:sz="8" w:space="0"/>
            </w:tcBorders>
            <w:shd w:val="clear" w:color="000000" w:fill="FFFFFF"/>
            <w:noWrap/>
            <w:vAlign w:val="center"/>
          </w:tcPr>
          <w:p>
            <w:pPr>
              <w:widowControl/>
              <w:jc w:val="center"/>
              <w:rPr>
                <w:rFonts w:ascii="仿宋_GB2312" w:hAnsi="宋体" w:eastAsia="仿宋_GB2312" w:cs="宋体"/>
                <w:b/>
                <w:bCs/>
                <w:color w:val="000000" w:themeColor="text1"/>
                <w:kern w:val="0"/>
                <w:szCs w:val="21"/>
              </w:rPr>
            </w:pPr>
            <w:r>
              <w:rPr>
                <w:rFonts w:hint="eastAsia" w:ascii="仿宋_GB2312" w:hAnsi="宋体" w:eastAsia="仿宋_GB2312" w:cs="宋体"/>
                <w:b/>
                <w:bCs/>
                <w:color w:val="000000" w:themeColor="text1"/>
                <w:kern w:val="0"/>
                <w:szCs w:val="21"/>
              </w:rPr>
              <w:t xml:space="preserve">特殊区域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77</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阳关居委会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北二环、大关立交、林城东路、贵遵路合围区域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28</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78</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阳关村委会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贵阳北站、黔灵湖大桥左线桥、黔灵湖大桥、火车北站隧道、西二环合围区域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37</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龙井居委会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阳关城市花园、火车北站隧道、草黄坝、西二环合围区域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80</w:t>
            </w:r>
          </w:p>
        </w:tc>
        <w:tc>
          <w:tcPr>
            <w:tcW w:w="148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金华园街道</w:t>
            </w: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上寨村委会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贵阳市白云区职业技术学校、数博大道云博路、枫林路、消防学校合围区域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81</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上寨村委会花鱼井</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临境居委会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枫林路、金阳北路、金珠西路、诚信南路合围区域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养马村委会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金园路、消防学校、黑土坝花园、枫林路、金阳北路合围区域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御墅居委会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枫林路、诚信南路、金珠西路、云潭北路合围区域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18</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水悦居委会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金湖路、明月路、金阳新世界花园、枫林路、云潭北路合围区域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38</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86</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珑</w:t>
            </w:r>
            <w:r>
              <w:rPr>
                <w:rFonts w:hint="eastAsia" w:ascii="宋体" w:hAnsi="宋体" w:cs="宋体"/>
                <w:color w:val="000000" w:themeColor="text1"/>
                <w:kern w:val="0"/>
                <w:szCs w:val="21"/>
              </w:rPr>
              <w:t>玥</w:t>
            </w:r>
            <w:r>
              <w:rPr>
                <w:rFonts w:hint="eastAsia" w:ascii="仿宋_GB2312" w:hAnsi="宋体" w:eastAsia="仿宋_GB2312" w:cs="宋体"/>
                <w:color w:val="000000" w:themeColor="text1"/>
                <w:kern w:val="0"/>
                <w:szCs w:val="21"/>
              </w:rPr>
              <w:t>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明月路、金阳北路合围区域、枫林路、金阳新世界花园合围区域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17</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87</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璟</w:t>
            </w:r>
            <w:r>
              <w:rPr>
                <w:rFonts w:hint="eastAsia" w:ascii="仿宋_GB2312" w:hAnsi="宋体" w:eastAsia="仿宋_GB2312" w:cs="宋体"/>
                <w:color w:val="000000" w:themeColor="text1"/>
                <w:kern w:val="0"/>
                <w:szCs w:val="21"/>
              </w:rPr>
              <w:t>誉居委会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金湖路、金阳北路、明月路、诚信路合围区域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88</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绿地联盛居委会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龙海路、金珠西路、金阳北路、地铁1号线林城西路站、诚信路合围区域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金华园居委会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梦草路、石标路、地铁1号线观山湖公园站、金阳北路合围区域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19</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90</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金富居委会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金珠西路、碧海南路、龙滩坝路、林城西路、龙海路、云潭北路合围区域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91</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金府居委会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枫林路、石标路、观悦街、金阳北路合围区域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金徽居委会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观山湖区第二幼儿园、贵州省图书馆（北馆）、通宝路、林城东路、石标路合围区域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金恒居委会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枫林路、数博大道长岭北路、金珠东路、贵州省人民医院金珠医院合围区域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44</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金澜居委会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观悦街、石标路、金珠东路、金阳北路合围区域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金铄居委会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贵阳市消防支队、石标路、梦草路、金阳北路合围区域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96</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金龙居委会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金珠东路、石标路、烈变国际广场、南苑路、金阳北路合围区域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18</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97</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铭廷居委会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金珠东路、通宝路、金华园南园C区、中天观山左岸、贵州省图书馆（北馆）、石标路合围区域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98</w:t>
            </w:r>
          </w:p>
        </w:tc>
        <w:tc>
          <w:tcPr>
            <w:tcW w:w="148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金华镇</w:t>
            </w: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一一三居委会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一一三居委会辖区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129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99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三甫村委会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贵阳市观山湖区国林学校、牛角坡、安猫山、燕子岩、鸭子田、卡子山小区、大坡脚、贵阳关安物流园、贵阳西南电商产业园合围区域（除三甫村委会物流园）</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100</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三甫村委会物流园</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101</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上枧村委会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霸王坡、西坡、银子坡、观山湖区下枧小学、邓坡、黄家大坡、马头上合围区域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上甫村委会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贵阳职业技术学院清镇校区、回龙寺、寨上大坡、宾阳大道、杨梅山、数谷大道、巢东路合围区域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103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下甫村委会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贵阳市公安局交通警察大队、超诚工业园、石秀才、中润国际、宾阳大道、贵阳职业技术学院清镇校区合围区域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restart"/>
            <w:tcBorders>
              <w:top w:val="nil"/>
              <w:left w:val="single" w:color="auto" w:sz="8" w:space="0"/>
              <w:bottom w:val="single" w:color="000000" w:sz="8" w:space="0"/>
              <w:right w:val="single" w:color="auto" w:sz="8" w:space="0"/>
            </w:tcBorders>
            <w:shd w:val="clear" w:color="000000" w:fill="FFFFFF"/>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何官村委会</w:t>
            </w:r>
          </w:p>
        </w:tc>
        <w:tc>
          <w:tcPr>
            <w:tcW w:w="2877" w:type="dxa"/>
            <w:tcBorders>
              <w:top w:val="nil"/>
              <w:left w:val="nil"/>
              <w:bottom w:val="single" w:color="auto" w:sz="8" w:space="0"/>
              <w:right w:val="single" w:color="auto" w:sz="8" w:space="0"/>
            </w:tcBorders>
            <w:shd w:val="clear" w:color="000000" w:fill="FFFFFF"/>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新寨大坡、八龙井、金华中心小学、贵黄高速、银子坡、邓坡合围区域（不含吉利工业园）</w:t>
            </w:r>
          </w:p>
        </w:tc>
        <w:tc>
          <w:tcPr>
            <w:tcW w:w="1233" w:type="dxa"/>
            <w:tcBorders>
              <w:top w:val="nil"/>
              <w:left w:val="nil"/>
              <w:bottom w:val="single" w:color="auto" w:sz="8" w:space="0"/>
              <w:right w:val="single" w:color="auto" w:sz="8" w:space="0"/>
            </w:tcBorders>
            <w:shd w:val="clear" w:color="000000" w:fill="FFFFFF"/>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w:t>
            </w:r>
          </w:p>
        </w:tc>
        <w:tc>
          <w:tcPr>
            <w:tcW w:w="1134" w:type="dxa"/>
            <w:tcBorders>
              <w:top w:val="nil"/>
              <w:left w:val="nil"/>
              <w:bottom w:val="single" w:color="auto" w:sz="8" w:space="0"/>
              <w:right w:val="single" w:color="auto" w:sz="8" w:space="0"/>
            </w:tcBorders>
            <w:shd w:val="clear" w:color="000000" w:fill="FFFFFF"/>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000000" w:fill="FFFFFF"/>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nil"/>
              <w:right w:val="single" w:color="auto" w:sz="8" w:space="0"/>
            </w:tcBorders>
            <w:shd w:val="clear" w:color="000000" w:fill="FFFFFF"/>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1035" w:hRule="atLeast"/>
          <w:jc w:val="center"/>
        </w:trPr>
        <w:tc>
          <w:tcPr>
            <w:tcW w:w="639" w:type="dxa"/>
            <w:tcBorders>
              <w:top w:val="nil"/>
              <w:left w:val="single" w:color="auto" w:sz="8" w:space="0"/>
              <w:bottom w:val="single" w:color="auto" w:sz="8" w:space="0"/>
              <w:right w:val="single" w:color="auto" w:sz="8" w:space="0"/>
            </w:tcBorders>
            <w:shd w:val="clear" w:color="000000" w:fill="FFFFFF"/>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000000" w:fill="FFFFFF"/>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吉利工业园</w:t>
            </w:r>
          </w:p>
        </w:tc>
        <w:tc>
          <w:tcPr>
            <w:tcW w:w="1233" w:type="dxa"/>
            <w:tcBorders>
              <w:top w:val="nil"/>
              <w:left w:val="nil"/>
              <w:bottom w:val="single" w:color="auto" w:sz="8" w:space="0"/>
              <w:right w:val="single" w:color="auto" w:sz="8" w:space="0"/>
            </w:tcBorders>
            <w:shd w:val="clear" w:color="000000" w:fill="FFFFFF"/>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w:t>
            </w:r>
          </w:p>
        </w:tc>
        <w:tc>
          <w:tcPr>
            <w:tcW w:w="1134" w:type="dxa"/>
            <w:tcBorders>
              <w:top w:val="nil"/>
              <w:left w:val="nil"/>
              <w:bottom w:val="single" w:color="auto" w:sz="8" w:space="0"/>
              <w:right w:val="single" w:color="auto" w:sz="8" w:space="0"/>
            </w:tcBorders>
            <w:shd w:val="clear" w:color="000000" w:fill="FFFFFF"/>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000000" w:fill="FFFFFF"/>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nil"/>
            </w:tcBorders>
            <w:shd w:val="clear" w:color="000000" w:fill="FFFFFF"/>
            <w:vAlign w:val="center"/>
          </w:tcPr>
          <w:p>
            <w:pPr>
              <w:widowControl/>
              <w:jc w:val="center"/>
              <w:rPr>
                <w:rFonts w:ascii="仿宋_GB2312" w:hAnsi="宋体" w:eastAsia="仿宋_GB2312" w:cs="宋体"/>
                <w:b/>
                <w:bCs/>
                <w:color w:val="000000" w:themeColor="text1"/>
                <w:kern w:val="0"/>
                <w:szCs w:val="21"/>
              </w:rPr>
            </w:pPr>
            <w:r>
              <w:rPr>
                <w:rFonts w:hint="eastAsia" w:ascii="仿宋_GB2312" w:hAnsi="宋体" w:eastAsia="仿宋_GB2312" w:cs="宋体"/>
                <w:b/>
                <w:bCs/>
                <w:color w:val="000000" w:themeColor="text1"/>
                <w:kern w:val="0"/>
                <w:szCs w:val="21"/>
              </w:rPr>
              <w:t>本单元格属特殊区域，不受距离限制</w:t>
            </w:r>
          </w:p>
        </w:tc>
        <w:tc>
          <w:tcPr>
            <w:tcW w:w="992" w:type="dxa"/>
            <w:tcBorders>
              <w:top w:val="nil"/>
              <w:left w:val="nil"/>
              <w:bottom w:val="single" w:color="auto" w:sz="8" w:space="0"/>
              <w:right w:val="single" w:color="auto" w:sz="8" w:space="0"/>
            </w:tcBorders>
            <w:shd w:val="clear" w:color="000000" w:fill="FFFFFF"/>
            <w:noWrap/>
            <w:vAlign w:val="center"/>
          </w:tcPr>
          <w:p>
            <w:pPr>
              <w:widowControl/>
              <w:jc w:val="center"/>
              <w:rPr>
                <w:rFonts w:ascii="仿宋_GB2312" w:hAnsi="宋体" w:eastAsia="仿宋_GB2312" w:cs="宋体"/>
                <w:b/>
                <w:bCs/>
                <w:color w:val="000000" w:themeColor="text1"/>
                <w:kern w:val="0"/>
                <w:szCs w:val="21"/>
              </w:rPr>
            </w:pPr>
            <w:r>
              <w:rPr>
                <w:rFonts w:hint="eastAsia" w:ascii="仿宋_GB2312" w:hAnsi="宋体" w:eastAsia="仿宋_GB2312" w:cs="宋体"/>
                <w:b/>
                <w:bCs/>
                <w:color w:val="000000" w:themeColor="text1"/>
                <w:kern w:val="0"/>
                <w:szCs w:val="21"/>
              </w:rPr>
              <w:t>特殊区域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冒沙居委会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冒沙居委会辖区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106</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干井村委会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贵阳西南国际商贸城4号广场、贵阳西南国际商贸城1号广场、沪昆高速、八龙井合围区域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107</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敖凡冲居委会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敖凡冲居委会辖区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108</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翁井村委会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贵州西南电商产业园、龙潭边、老王山、五一斜井、大龙坡、胡芦关合围区域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13</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翁贡村委会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栗木大山、勾腰坡、白岩关、商城西路、八龙井、老鹰岩合围区域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110</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苍坡村委会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二岩大坡、老鹰岩、霸王坡、西坡、新寨大坡、水淹坝、杨家庄、大山头合围区域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111</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蒿芝塘居委会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蒿芝塘居委会辖区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蒿芝居委会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蒿芝居委会辖区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103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蒿芝村委会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邓坡、贵黄高速、贵阳关安物流园、贵阳西南电商产业园、老王冲、葫芦关、林东中学合围区域（蒿芝村委会长城小区）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蒿芝村委会长城小区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郭家冲居委会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郭家冲居委会辖区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116</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金华居委会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金华居委会辖区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103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117</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金华村委会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沪昆高速、贵州宏腾物流、贵阳市观山湖区金华幼儿园、贵阳市观山湖区文苑幼儿园合围区域（除金华村委会物流园）</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118</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金华村委会物流园</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23</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金龙村委会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沪昆高速、汤耙哨、贵黄高速、贵州宏腾物流合围区域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47</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120</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长城居委会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长城居委会辖区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121</w:t>
            </w:r>
          </w:p>
        </w:tc>
        <w:tc>
          <w:tcPr>
            <w:tcW w:w="148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金阳街道</w:t>
            </w: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乾红居委会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万寿竹路、玫瑰路、金阳商业步行街、兴筑路、紫荆花路合围区域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云上居委会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奥体中心北广场、奥兴路、石林东路、云潭南路合围区域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云境居委会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中铁逸都国际B区、中铁逸都国际B区、广州路、云潭南路合围区域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云峰居委会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广州路、金阳南路、金清大道、云潭南路合围区域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37</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云海居委会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广州路、逸都路、中铁逸都国际D区、云潭南路合围区域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27</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126</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云潭居委会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广州路、逸都路、中铁逸都国际D区、云潭南路合围区域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127</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兴筑居委会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郁金香路、金阳南路、碧海第一街、碧海南路合围区域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128</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华兴居委会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兴筑路、金阳南路、翠柳路、奥兴路合围区域(除华润国际)</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129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华润国际</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130</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奥林居委会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翠柳路、金阳南路、石林东路、奥兴路合围区域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131</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帝景居委会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石林路、金阳南路、广州路、金清大道、中天帝景传说B区、C区合围区域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132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松园居委会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碧海第一街、金阳南路、兴筑路、金阳商业步行街合围区域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133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润兴居委会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兴筑路、诚信南路、上麦路、翠柳路、云潭南路合围区域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134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碧海居委会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观山西路、金阳南路、郁金香路、碧海南路合围区域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135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金元居委会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地铁1号线林城西路站、金阳北路、观山西路、云潭北路合围区域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14</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136</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金湖居委会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观山东路、观山湖区远大小学、恒大小学、阳关大道、黔灵山路、金阳南路合围区域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129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137</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金红居委会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地铁1号线观山湖公园站、会展北路、会展南路、观山东路、金阳北路合围区域（除万科翡翠天骄、富力新天地、碧海乾图广场、群升新世界广场）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49</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138</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金红居委会万科翡翠天骄</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139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金红居委会富力新天地</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33</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140</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金红居委会碧海乾图广场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141</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金红居委会群升世纪广场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142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金馨园居委会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经鑫馨怡园、碧海南路、碧海爱尔园、诚信南路合围区域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143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黎海居委会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金海苑、诚信南路、万寿竹路、黎阳家园合围区域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144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黎苑居委会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观山西路、诚信南路、万寿竹路、云潭南路合围区域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145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龙香园居委会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观山西路、诚信南路、碧海爱尔园、阳光香榭花园、兴筑路、诚信南路合围区域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146</w:t>
            </w:r>
          </w:p>
        </w:tc>
        <w:tc>
          <w:tcPr>
            <w:tcW w:w="1487"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长岭街道</w:t>
            </w: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上寨新苑居委会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上寨新苑、贵遵路、观山东路、同城南路合围区域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147</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上洲居委会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林城东路、同城南路、美的大道、数博大道长岭北路合围区域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148</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会展城居委会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会展东路、数博大道长岭北路、观山东路、会展南路（除中天会展城）</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149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中天会展城</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150</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会泽居委会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金珠东路、贵遵路、林城东路、中天会展城B区合围区域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37</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151</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会锦居委会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林城东路、数博大道长岭北路、观山东路、观山湖公园合围区域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新景界居委会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观山东路、数博大道长岭南路、远大生态风景、观山湖公园合围区域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8</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新阳关居委会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观山东路、地铁1号线新寨站、阳光家苑、数博大道长岭南路合围区域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栖景湾居委会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远大生态风景、数博大道长岭南路、阳关大道、观山湖公园合围区域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22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155</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永丰居委会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金珠东路、中天会展城B区、林城东路、通宝路合围区域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48</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156</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白鹭湖居委会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阳光家苑、同城南路、阳关大道、数博大道长岭南路合围区域（除天一国际广场、融创数据小镇、阳关小区、高新区）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157</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白鹭湖居委会天一国际广场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16</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158</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白鹭湖居委会融创数据小镇</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159</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白鹭湖居委会阳关小区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11</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160</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白鹭湖居委会高新区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70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52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161</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美桐苑居委会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美的大道、同城南路、观山东路、数博大道长岭北路合围区域</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35</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780"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162</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聚融居委会</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白云区气象局、同城南路、金珠山东路、数博大道长岭北路（除金融中心二期住宅区、金融中心二期商务区）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163</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聚融居委会金融中心二期住宅区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47</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164</w:t>
            </w:r>
          </w:p>
        </w:tc>
        <w:tc>
          <w:tcPr>
            <w:tcW w:w="1487"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127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Cs w:val="21"/>
              </w:rPr>
            </w:pP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聚融居委会金融中心二期商务区</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r>
        <w:tblPrEx>
          <w:tblCellMar>
            <w:top w:w="0" w:type="dxa"/>
            <w:left w:w="108" w:type="dxa"/>
            <w:bottom w:w="0" w:type="dxa"/>
            <w:right w:w="108" w:type="dxa"/>
          </w:tblCellMar>
        </w:tblPrEx>
        <w:trPr>
          <w:trHeight w:val="285" w:hRule="atLeast"/>
          <w:jc w:val="center"/>
        </w:trPr>
        <w:tc>
          <w:tcPr>
            <w:tcW w:w="639" w:type="dxa"/>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165</w:t>
            </w:r>
          </w:p>
        </w:tc>
        <w:tc>
          <w:tcPr>
            <w:tcW w:w="1487"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合计</w:t>
            </w:r>
          </w:p>
        </w:tc>
        <w:tc>
          <w:tcPr>
            <w:tcW w:w="127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c>
          <w:tcPr>
            <w:tcW w:w="2877"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c>
          <w:tcPr>
            <w:tcW w:w="1233"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3222</w:t>
            </w:r>
          </w:p>
        </w:tc>
        <w:tc>
          <w:tcPr>
            <w:tcW w:w="1134"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276"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p>
        </w:tc>
        <w:tc>
          <w:tcPr>
            <w:tcW w:w="1134"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50</w:t>
            </w:r>
          </w:p>
        </w:tc>
        <w:tc>
          <w:tcPr>
            <w:tcW w:w="992"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Cs w:val="21"/>
              </w:rPr>
            </w:pPr>
            <w:r>
              <w:rPr>
                <w:rFonts w:hint="eastAsia" w:ascii="仿宋_GB2312" w:hAnsi="宋体" w:eastAsia="仿宋_GB2312" w:cs="宋体"/>
                <w:color w:val="000000" w:themeColor="text1"/>
                <w:kern w:val="0"/>
                <w:szCs w:val="21"/>
              </w:rPr>
              <w:t>　</w:t>
            </w:r>
          </w:p>
        </w:tc>
      </w:tr>
    </w:tbl>
    <w:p>
      <w:pPr>
        <w:adjustRightInd w:val="0"/>
        <w:snapToGrid w:val="0"/>
        <w:spacing w:line="240" w:lineRule="atLeast"/>
        <w:ind w:left="720" w:hanging="720" w:hangingChars="300"/>
        <w:jc w:val="left"/>
        <w:rPr>
          <w:rFonts w:ascii="宋体" w:hAnsi="宋体" w:cs="黑体"/>
          <w:color w:val="000000"/>
          <w:sz w:val="24"/>
        </w:rPr>
      </w:pPr>
    </w:p>
    <w:p>
      <w:pPr>
        <w:adjustRightInd w:val="0"/>
        <w:snapToGrid w:val="0"/>
        <w:spacing w:line="240" w:lineRule="atLeast"/>
        <w:ind w:left="720" w:hanging="720" w:hangingChars="300"/>
        <w:jc w:val="left"/>
        <w:rPr>
          <w:rFonts w:ascii="宋体" w:hAnsi="宋体" w:cs="黑体"/>
          <w:color w:val="000000"/>
          <w:sz w:val="24"/>
        </w:rPr>
      </w:pPr>
      <w:r>
        <w:rPr>
          <w:rFonts w:hint="eastAsia" w:ascii="宋体" w:hAnsi="宋体" w:cs="黑体"/>
          <w:color w:val="000000"/>
          <w:sz w:val="24"/>
        </w:rPr>
        <w:t>注：1.零售点设置数量上限指现行《观山湖区烟草制品零售点合理布局规划表》中确定的2024年度（上半年/下半年）零售点设置数量；</w:t>
      </w:r>
    </w:p>
    <w:p>
      <w:pPr>
        <w:pStyle w:val="6"/>
        <w:widowControl/>
        <w:shd w:val="clear" w:color="auto" w:fill="FFFFFF"/>
        <w:kinsoku w:val="0"/>
        <w:overflowPunct w:val="0"/>
        <w:autoSpaceDE w:val="0"/>
        <w:autoSpaceDN w:val="0"/>
        <w:adjustRightInd w:val="0"/>
        <w:snapToGrid w:val="0"/>
        <w:spacing w:line="580" w:lineRule="exact"/>
        <w:ind w:firstLine="480" w:firstLineChars="200"/>
        <w:rPr>
          <w:rFonts w:ascii="宋体" w:hAnsi="宋体" w:cs="黑体"/>
          <w:color w:val="000000"/>
        </w:rPr>
      </w:pPr>
      <w:r>
        <w:rPr>
          <w:rFonts w:hint="eastAsia" w:ascii="宋体" w:hAnsi="宋体" w:cs="黑体"/>
          <w:color w:val="000000"/>
          <w:kern w:val="2"/>
        </w:rPr>
        <w:t>2.本期申办时间为</w:t>
      </w:r>
      <w:r>
        <w:rPr>
          <w:rFonts w:ascii="宋体" w:hAnsi="宋体" w:cs="黑体"/>
          <w:color w:val="000000"/>
          <w:kern w:val="2"/>
        </w:rPr>
        <w:t>2024年1月</w:t>
      </w:r>
      <w:r>
        <w:rPr>
          <w:rFonts w:hint="eastAsia" w:ascii="宋体" w:hAnsi="宋体" w:cs="黑体"/>
          <w:color w:val="000000"/>
          <w:kern w:val="2"/>
        </w:rPr>
        <w:t>31</w:t>
      </w:r>
      <w:r>
        <w:rPr>
          <w:rFonts w:ascii="宋体" w:hAnsi="宋体" w:cs="黑体"/>
          <w:color w:val="000000"/>
          <w:kern w:val="2"/>
        </w:rPr>
        <w:t>日</w:t>
      </w:r>
      <w:r>
        <w:rPr>
          <w:rFonts w:hint="eastAsia" w:ascii="宋体" w:hAnsi="宋体" w:cs="黑体"/>
          <w:color w:val="000000"/>
          <w:kern w:val="2"/>
        </w:rPr>
        <w:t>8</w:t>
      </w:r>
      <w:r>
        <w:rPr>
          <w:rFonts w:ascii="宋体" w:hAnsi="宋体" w:cs="黑体"/>
          <w:color w:val="000000"/>
          <w:kern w:val="2"/>
        </w:rPr>
        <w:t>时</w:t>
      </w:r>
      <w:r>
        <w:rPr>
          <w:rFonts w:hint="eastAsia" w:ascii="宋体" w:hAnsi="宋体" w:cs="黑体"/>
          <w:color w:val="000000"/>
          <w:kern w:val="2"/>
        </w:rPr>
        <w:t>30</w:t>
      </w:r>
      <w:r>
        <w:rPr>
          <w:rFonts w:ascii="宋体" w:hAnsi="宋体" w:cs="黑体"/>
          <w:color w:val="000000"/>
          <w:kern w:val="2"/>
        </w:rPr>
        <w:t>分至</w:t>
      </w:r>
      <w:r>
        <w:rPr>
          <w:rFonts w:hint="eastAsia" w:ascii="宋体" w:hAnsi="宋体" w:cs="黑体"/>
          <w:color w:val="000000"/>
          <w:kern w:val="2"/>
        </w:rPr>
        <w:t>2024</w:t>
      </w:r>
      <w:r>
        <w:rPr>
          <w:rFonts w:ascii="宋体" w:hAnsi="宋体" w:cs="黑体"/>
          <w:color w:val="000000"/>
          <w:kern w:val="2"/>
        </w:rPr>
        <w:t>年</w:t>
      </w:r>
      <w:r>
        <w:rPr>
          <w:rFonts w:hint="eastAsia" w:ascii="宋体" w:hAnsi="宋体" w:cs="黑体"/>
          <w:color w:val="000000"/>
          <w:kern w:val="2"/>
        </w:rPr>
        <w:t>4</w:t>
      </w:r>
      <w:r>
        <w:rPr>
          <w:rFonts w:ascii="宋体" w:hAnsi="宋体" w:cs="黑体"/>
          <w:color w:val="000000"/>
          <w:kern w:val="2"/>
        </w:rPr>
        <w:t>月</w:t>
      </w:r>
      <w:r>
        <w:rPr>
          <w:rFonts w:hint="eastAsia" w:ascii="宋体" w:hAnsi="宋体" w:cs="黑体"/>
          <w:color w:val="000000"/>
          <w:kern w:val="2"/>
        </w:rPr>
        <w:t>1</w:t>
      </w:r>
      <w:r>
        <w:rPr>
          <w:rFonts w:ascii="宋体" w:hAnsi="宋体" w:cs="黑体"/>
          <w:color w:val="000000"/>
          <w:kern w:val="2"/>
        </w:rPr>
        <w:t>日</w:t>
      </w:r>
      <w:r>
        <w:rPr>
          <w:rFonts w:hint="eastAsia" w:ascii="宋体" w:hAnsi="宋体" w:cs="黑体"/>
          <w:color w:val="000000"/>
          <w:kern w:val="2"/>
        </w:rPr>
        <w:t>8</w:t>
      </w:r>
      <w:r>
        <w:rPr>
          <w:rFonts w:ascii="宋体" w:hAnsi="宋体" w:cs="黑体"/>
          <w:color w:val="000000"/>
          <w:kern w:val="2"/>
        </w:rPr>
        <w:t>时</w:t>
      </w:r>
      <w:r>
        <w:rPr>
          <w:rFonts w:hint="eastAsia" w:ascii="宋体" w:hAnsi="宋体" w:cs="黑体"/>
          <w:color w:val="000000"/>
          <w:kern w:val="2"/>
        </w:rPr>
        <w:t>30</w:t>
      </w:r>
      <w:r>
        <w:rPr>
          <w:rFonts w:ascii="宋体" w:hAnsi="宋体" w:cs="黑体"/>
          <w:color w:val="000000"/>
          <w:kern w:val="2"/>
        </w:rPr>
        <w:t>分</w:t>
      </w:r>
      <w:r>
        <w:rPr>
          <w:rFonts w:hint="eastAsia" w:ascii="宋体" w:hAnsi="宋体" w:cs="黑体"/>
          <w:color w:val="000000"/>
          <w:kern w:val="2"/>
        </w:rPr>
        <w:t>；</w:t>
      </w:r>
    </w:p>
    <w:p>
      <w:pPr>
        <w:ind w:firstLine="480" w:firstLineChars="200"/>
      </w:pPr>
      <w:r>
        <w:rPr>
          <w:rFonts w:hint="eastAsia" w:ascii="宋体" w:hAnsi="宋体" w:cs="黑体"/>
          <w:color w:val="000000"/>
          <w:sz w:val="24"/>
        </w:rPr>
        <w:t>3.可增设零售点数量不含符合现行《观山湖区烟草制品零售点合理布局规定》第十条、第十一条规定的情形。</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QxNjNmYmY0YWNkN2FkZDhlM2QyMDkwM2Y3ZWQ3YzYifQ=="/>
  </w:docVars>
  <w:rsids>
    <w:rsidRoot w:val="00A13803"/>
    <w:rsid w:val="001033DB"/>
    <w:rsid w:val="00121C4E"/>
    <w:rsid w:val="00137B25"/>
    <w:rsid w:val="0019734A"/>
    <w:rsid w:val="001A1B9A"/>
    <w:rsid w:val="001E236F"/>
    <w:rsid w:val="0032643D"/>
    <w:rsid w:val="00475E82"/>
    <w:rsid w:val="005619DC"/>
    <w:rsid w:val="005D0CFB"/>
    <w:rsid w:val="005E6FAD"/>
    <w:rsid w:val="006B6FD8"/>
    <w:rsid w:val="00875959"/>
    <w:rsid w:val="008B2817"/>
    <w:rsid w:val="009011F7"/>
    <w:rsid w:val="009754D4"/>
    <w:rsid w:val="00A13803"/>
    <w:rsid w:val="00A6698E"/>
    <w:rsid w:val="00AB59A8"/>
    <w:rsid w:val="00BD1205"/>
    <w:rsid w:val="00D1656C"/>
    <w:rsid w:val="00E457A4"/>
    <w:rsid w:val="00ED2C00"/>
    <w:rsid w:val="00EF6C3A"/>
    <w:rsid w:val="5C6E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49"/>
    <w:semiHidden/>
    <w:unhideWhenUsed/>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qFormat/>
    <w:uiPriority w:val="99"/>
    <w:pPr>
      <w:spacing w:before="100" w:beforeAutospacing="1" w:after="100" w:afterAutospacing="1"/>
      <w:jc w:val="left"/>
    </w:pPr>
    <w:rPr>
      <w:rFonts w:ascii="Calibri" w:hAnsi="Calibri"/>
      <w:kern w:val="0"/>
      <w:sz w:val="24"/>
    </w:rPr>
  </w:style>
  <w:style w:type="character" w:styleId="9">
    <w:name w:val="FollowedHyperlink"/>
    <w:basedOn w:val="8"/>
    <w:autoRedefine/>
    <w:semiHidden/>
    <w:unhideWhenUsed/>
    <w:qFormat/>
    <w:uiPriority w:val="99"/>
    <w:rPr>
      <w:color w:val="800080"/>
      <w:u w:val="single"/>
    </w:rPr>
  </w:style>
  <w:style w:type="character" w:styleId="10">
    <w:name w:val="Hyperlink"/>
    <w:basedOn w:val="8"/>
    <w:autoRedefine/>
    <w:semiHidden/>
    <w:unhideWhenUsed/>
    <w:qFormat/>
    <w:uiPriority w:val="99"/>
    <w:rPr>
      <w:color w:val="0000FF"/>
      <w:u w:val="single"/>
    </w:rPr>
  </w:style>
  <w:style w:type="character" w:styleId="11">
    <w:name w:val="annotation reference"/>
    <w:basedOn w:val="8"/>
    <w:semiHidden/>
    <w:unhideWhenUsed/>
    <w:uiPriority w:val="99"/>
    <w:rPr>
      <w:sz w:val="21"/>
      <w:szCs w:val="21"/>
    </w:rPr>
  </w:style>
  <w:style w:type="character" w:customStyle="1" w:styleId="12">
    <w:name w:val="页眉 Char"/>
    <w:basedOn w:val="8"/>
    <w:link w:val="5"/>
    <w:semiHidden/>
    <w:qFormat/>
    <w:uiPriority w:val="99"/>
    <w:rPr>
      <w:sz w:val="18"/>
      <w:szCs w:val="18"/>
    </w:rPr>
  </w:style>
  <w:style w:type="character" w:customStyle="1" w:styleId="13">
    <w:name w:val="页脚 Char"/>
    <w:basedOn w:val="8"/>
    <w:link w:val="4"/>
    <w:autoRedefine/>
    <w:qFormat/>
    <w:uiPriority w:val="99"/>
    <w:rPr>
      <w:sz w:val="18"/>
      <w:szCs w:val="18"/>
    </w:rPr>
  </w:style>
  <w:style w:type="character" w:customStyle="1" w:styleId="14">
    <w:name w:val="批注框文本 Char"/>
    <w:basedOn w:val="8"/>
    <w:link w:val="3"/>
    <w:autoRedefine/>
    <w:semiHidden/>
    <w:qFormat/>
    <w:uiPriority w:val="99"/>
    <w:rPr>
      <w:rFonts w:ascii="Times New Roman" w:hAnsi="Times New Roman" w:eastAsia="宋体" w:cs="Times New Roman"/>
      <w:sz w:val="18"/>
      <w:szCs w:val="18"/>
    </w:rPr>
  </w:style>
  <w:style w:type="paragraph" w:customStyle="1" w:styleId="15">
    <w:name w:val="正文-公1"/>
    <w:basedOn w:val="1"/>
    <w:next w:val="5"/>
    <w:autoRedefine/>
    <w:qFormat/>
    <w:uiPriority w:val="0"/>
    <w:pPr>
      <w:ind w:firstLine="200" w:firstLineChars="200"/>
    </w:pPr>
  </w:style>
  <w:style w:type="paragraph" w:customStyle="1" w:styleId="1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
    <w:name w:val="font6"/>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8">
    <w:name w:val="xl63"/>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黑体" w:hAnsi="黑体" w:eastAsia="黑体" w:cs="宋体"/>
      <w:color w:val="000000"/>
      <w:kern w:val="0"/>
      <w:szCs w:val="21"/>
    </w:rPr>
  </w:style>
  <w:style w:type="paragraph" w:customStyle="1" w:styleId="19">
    <w:name w:val="xl64"/>
    <w:basedOn w:val="1"/>
    <w:autoRedefine/>
    <w:qFormat/>
    <w:uiPriority w:val="0"/>
    <w:pPr>
      <w:widowControl/>
      <w:pBdr>
        <w:top w:val="single" w:color="auto" w:sz="8" w:space="0"/>
        <w:right w:val="single" w:color="auto" w:sz="8" w:space="0"/>
      </w:pBdr>
      <w:spacing w:before="100" w:beforeAutospacing="1" w:after="100" w:afterAutospacing="1"/>
      <w:jc w:val="center"/>
    </w:pPr>
    <w:rPr>
      <w:rFonts w:ascii="黑体" w:hAnsi="黑体" w:eastAsia="黑体" w:cs="宋体"/>
      <w:color w:val="000000"/>
      <w:kern w:val="0"/>
      <w:szCs w:val="21"/>
    </w:rPr>
  </w:style>
  <w:style w:type="paragraph" w:customStyle="1" w:styleId="20">
    <w:name w:val="xl65"/>
    <w:basedOn w:val="1"/>
    <w:autoRedefine/>
    <w:qFormat/>
    <w:uiPriority w:val="0"/>
    <w:pPr>
      <w:widowControl/>
      <w:pBdr>
        <w:top w:val="single" w:color="auto" w:sz="8" w:space="0"/>
      </w:pBdr>
      <w:spacing w:before="100" w:beforeAutospacing="1" w:after="100" w:afterAutospacing="1"/>
      <w:jc w:val="left"/>
    </w:pPr>
    <w:rPr>
      <w:rFonts w:ascii="宋体" w:hAnsi="宋体" w:cs="宋体"/>
      <w:kern w:val="0"/>
      <w:sz w:val="24"/>
    </w:rPr>
  </w:style>
  <w:style w:type="paragraph" w:customStyle="1" w:styleId="21">
    <w:name w:val="xl66"/>
    <w:basedOn w:val="1"/>
    <w:autoRedefine/>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jc w:val="center"/>
    </w:pPr>
    <w:rPr>
      <w:rFonts w:ascii="黑体" w:hAnsi="黑体" w:eastAsia="黑体" w:cs="宋体"/>
      <w:color w:val="000000"/>
      <w:kern w:val="0"/>
      <w:szCs w:val="21"/>
    </w:rPr>
  </w:style>
  <w:style w:type="paragraph" w:customStyle="1" w:styleId="22">
    <w:name w:val="xl67"/>
    <w:basedOn w:val="1"/>
    <w:autoRedefine/>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jc w:val="center"/>
    </w:pPr>
    <w:rPr>
      <w:rFonts w:ascii="黑体" w:hAnsi="黑体" w:eastAsia="黑体" w:cs="宋体"/>
      <w:color w:val="000000"/>
      <w:kern w:val="0"/>
      <w:szCs w:val="21"/>
    </w:rPr>
  </w:style>
  <w:style w:type="paragraph" w:customStyle="1" w:styleId="23">
    <w:name w:val="xl68"/>
    <w:basedOn w:val="1"/>
    <w:autoRedefine/>
    <w:qFormat/>
    <w:uiPriority w:val="0"/>
    <w:pPr>
      <w:widowControl/>
      <w:pBdr>
        <w:top w:val="single" w:color="auto" w:sz="4" w:space="0"/>
        <w:left w:val="single" w:color="auto" w:sz="8" w:space="0"/>
        <w:bottom w:val="single" w:color="auto" w:sz="8" w:space="0"/>
        <w:right w:val="single" w:color="auto" w:sz="8" w:space="0"/>
      </w:pBdr>
      <w:spacing w:before="100" w:beforeAutospacing="1" w:after="100" w:afterAutospacing="1"/>
      <w:jc w:val="center"/>
    </w:pPr>
    <w:rPr>
      <w:rFonts w:ascii="黑体" w:hAnsi="黑体" w:eastAsia="黑体" w:cs="宋体"/>
      <w:color w:val="000000"/>
      <w:kern w:val="0"/>
      <w:szCs w:val="21"/>
    </w:rPr>
  </w:style>
  <w:style w:type="paragraph" w:customStyle="1" w:styleId="24">
    <w:name w:val="xl69"/>
    <w:basedOn w:val="1"/>
    <w:autoRedefine/>
    <w:qFormat/>
    <w:uiPriority w:val="0"/>
    <w:pPr>
      <w:widowControl/>
      <w:pBdr>
        <w:top w:val="single" w:color="auto" w:sz="4" w:space="0"/>
        <w:left w:val="single" w:color="auto" w:sz="8" w:space="0"/>
        <w:right w:val="single" w:color="auto" w:sz="8" w:space="0"/>
      </w:pBdr>
      <w:spacing w:before="100" w:beforeAutospacing="1" w:after="100" w:afterAutospacing="1"/>
      <w:jc w:val="center"/>
    </w:pPr>
    <w:rPr>
      <w:rFonts w:ascii="黑体" w:hAnsi="黑体" w:eastAsia="黑体" w:cs="宋体"/>
      <w:color w:val="000000"/>
      <w:kern w:val="0"/>
      <w:szCs w:val="21"/>
    </w:rPr>
  </w:style>
  <w:style w:type="paragraph" w:customStyle="1" w:styleId="25">
    <w:name w:val="xl70"/>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黑体" w:hAnsi="黑体" w:eastAsia="黑体" w:cs="宋体"/>
      <w:color w:val="000000"/>
      <w:kern w:val="0"/>
      <w:szCs w:val="21"/>
    </w:rPr>
  </w:style>
  <w:style w:type="paragraph" w:customStyle="1" w:styleId="26">
    <w:name w:val="xl71"/>
    <w:basedOn w:val="1"/>
    <w:autoRedefine/>
    <w:qFormat/>
    <w:uiPriority w:val="0"/>
    <w:pPr>
      <w:widowControl/>
      <w:pBdr>
        <w:left w:val="single" w:color="auto" w:sz="8" w:space="0"/>
        <w:right w:val="single" w:color="auto" w:sz="8" w:space="0"/>
      </w:pBdr>
      <w:spacing w:before="100" w:beforeAutospacing="1" w:after="100" w:afterAutospacing="1"/>
      <w:jc w:val="center"/>
    </w:pPr>
    <w:rPr>
      <w:rFonts w:ascii="黑体" w:hAnsi="黑体" w:eastAsia="黑体" w:cs="宋体"/>
      <w:color w:val="000000"/>
      <w:kern w:val="0"/>
      <w:szCs w:val="21"/>
    </w:rPr>
  </w:style>
  <w:style w:type="paragraph" w:customStyle="1" w:styleId="27">
    <w:name w:val="xl72"/>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黑体" w:hAnsi="黑体" w:eastAsia="黑体" w:cs="宋体"/>
      <w:color w:val="000000"/>
      <w:kern w:val="0"/>
      <w:szCs w:val="21"/>
    </w:rPr>
  </w:style>
  <w:style w:type="paragraph" w:customStyle="1" w:styleId="28">
    <w:name w:val="xl73"/>
    <w:basedOn w:val="1"/>
    <w:autoRedefine/>
    <w:qFormat/>
    <w:uiPriority w:val="0"/>
    <w:pPr>
      <w:widowControl/>
      <w:pBdr>
        <w:right w:val="single" w:color="auto" w:sz="8" w:space="0"/>
      </w:pBdr>
      <w:spacing w:before="100" w:beforeAutospacing="1" w:after="100" w:afterAutospacing="1"/>
      <w:jc w:val="center"/>
    </w:pPr>
    <w:rPr>
      <w:rFonts w:ascii="黑体" w:hAnsi="黑体" w:eastAsia="黑体" w:cs="宋体"/>
      <w:color w:val="000000"/>
      <w:kern w:val="0"/>
      <w:szCs w:val="21"/>
    </w:rPr>
  </w:style>
  <w:style w:type="paragraph" w:customStyle="1" w:styleId="29">
    <w:name w:val="xl74"/>
    <w:basedOn w:val="1"/>
    <w:autoRedefine/>
    <w:qFormat/>
    <w:uiPriority w:val="0"/>
    <w:pPr>
      <w:widowControl/>
      <w:pBdr>
        <w:bottom w:val="single" w:color="auto" w:sz="8" w:space="0"/>
        <w:right w:val="single" w:color="auto" w:sz="8" w:space="0"/>
      </w:pBdr>
      <w:spacing w:before="100" w:beforeAutospacing="1" w:after="100" w:afterAutospacing="1"/>
      <w:jc w:val="center"/>
    </w:pPr>
    <w:rPr>
      <w:rFonts w:ascii="黑体" w:hAnsi="黑体" w:eastAsia="黑体" w:cs="宋体"/>
      <w:color w:val="000000"/>
      <w:kern w:val="0"/>
      <w:szCs w:val="21"/>
    </w:rPr>
  </w:style>
  <w:style w:type="paragraph" w:customStyle="1" w:styleId="30">
    <w:name w:val="xl75"/>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仿宋_GB2312" w:hAnsi="宋体" w:eastAsia="仿宋_GB2312" w:cs="宋体"/>
      <w:color w:val="000000"/>
      <w:kern w:val="0"/>
      <w:szCs w:val="21"/>
    </w:rPr>
  </w:style>
  <w:style w:type="paragraph" w:customStyle="1" w:styleId="31">
    <w:name w:val="xl76"/>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32">
    <w:name w:val="xl7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仿宋_GB2312" w:hAnsi="宋体" w:eastAsia="仿宋_GB2312" w:cs="宋体"/>
      <w:color w:val="000000"/>
      <w:kern w:val="0"/>
      <w:szCs w:val="21"/>
    </w:rPr>
  </w:style>
  <w:style w:type="paragraph" w:customStyle="1" w:styleId="33">
    <w:name w:val="xl78"/>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仿宋_GB2312" w:hAnsi="宋体" w:eastAsia="仿宋_GB2312" w:cs="宋体"/>
      <w:color w:val="000000"/>
      <w:kern w:val="0"/>
      <w:szCs w:val="21"/>
    </w:rPr>
  </w:style>
  <w:style w:type="paragraph" w:customStyle="1" w:styleId="34">
    <w:name w:val="xl79"/>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35">
    <w:name w:val="xl80"/>
    <w:basedOn w:val="1"/>
    <w:autoRedefine/>
    <w:qFormat/>
    <w:uiPriority w:val="0"/>
    <w:pPr>
      <w:widowControl/>
      <w:pBdr>
        <w:left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36">
    <w:name w:val="xl81"/>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37">
    <w:name w:val="xl82"/>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38">
    <w:name w:val="xl83"/>
    <w:basedOn w:val="1"/>
    <w:autoRedefine/>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39">
    <w:name w:val="xl84"/>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40">
    <w:name w:val="xl8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color w:val="000000"/>
      <w:kern w:val="0"/>
      <w:szCs w:val="21"/>
    </w:rPr>
  </w:style>
  <w:style w:type="paragraph" w:customStyle="1" w:styleId="41">
    <w:name w:val="xl86"/>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仿宋_GB2312" w:hAnsi="宋体" w:eastAsia="仿宋_GB2312" w:cs="宋体"/>
      <w:kern w:val="0"/>
      <w:szCs w:val="21"/>
    </w:rPr>
  </w:style>
  <w:style w:type="paragraph" w:customStyle="1" w:styleId="42">
    <w:name w:val="xl87"/>
    <w:basedOn w:val="1"/>
    <w:qFormat/>
    <w:uiPriority w:val="0"/>
    <w:pPr>
      <w:widowControl/>
      <w:pBdr>
        <w:left w:val="single" w:color="auto" w:sz="8" w:space="0"/>
        <w:right w:val="single" w:color="auto" w:sz="8" w:space="0"/>
      </w:pBdr>
      <w:spacing w:before="100" w:beforeAutospacing="1" w:after="100" w:afterAutospacing="1"/>
      <w:jc w:val="center"/>
    </w:pPr>
    <w:rPr>
      <w:rFonts w:ascii="仿宋_GB2312" w:hAnsi="宋体" w:eastAsia="仿宋_GB2312" w:cs="宋体"/>
      <w:kern w:val="0"/>
      <w:szCs w:val="21"/>
    </w:rPr>
  </w:style>
  <w:style w:type="paragraph" w:customStyle="1" w:styleId="43">
    <w:name w:val="xl8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仿宋_GB2312" w:hAnsi="宋体" w:eastAsia="仿宋_GB2312" w:cs="宋体"/>
      <w:kern w:val="0"/>
      <w:szCs w:val="21"/>
    </w:rPr>
  </w:style>
  <w:style w:type="paragraph" w:customStyle="1" w:styleId="44">
    <w:name w:val="xl89"/>
    <w:basedOn w:val="1"/>
    <w:qFormat/>
    <w:uiPriority w:val="0"/>
    <w:pPr>
      <w:widowControl/>
      <w:pBdr>
        <w:bottom w:val="single" w:color="auto" w:sz="8" w:space="0"/>
        <w:right w:val="single" w:color="auto" w:sz="8" w:space="0"/>
      </w:pBdr>
      <w:spacing w:before="100" w:beforeAutospacing="1" w:after="100" w:afterAutospacing="1"/>
      <w:jc w:val="center"/>
    </w:pPr>
    <w:rPr>
      <w:rFonts w:ascii="仿宋_GB2312" w:hAnsi="宋体" w:eastAsia="仿宋_GB2312" w:cs="宋体"/>
      <w:kern w:val="0"/>
      <w:szCs w:val="21"/>
    </w:rPr>
  </w:style>
  <w:style w:type="paragraph" w:customStyle="1" w:styleId="45">
    <w:name w:val="xl90"/>
    <w:basedOn w:val="1"/>
    <w:qFormat/>
    <w:uiPriority w:val="0"/>
    <w:pPr>
      <w:widowControl/>
      <w:spacing w:before="100" w:beforeAutospacing="1" w:after="100" w:afterAutospacing="1"/>
      <w:jc w:val="center"/>
    </w:pPr>
    <w:rPr>
      <w:rFonts w:ascii="仿宋_GB2312" w:hAnsi="宋体" w:eastAsia="仿宋_GB2312" w:cs="宋体"/>
      <w:kern w:val="0"/>
      <w:szCs w:val="21"/>
    </w:rPr>
  </w:style>
  <w:style w:type="paragraph" w:customStyle="1" w:styleId="46">
    <w:name w:val="xl91"/>
    <w:basedOn w:val="1"/>
    <w:qFormat/>
    <w:uiPriority w:val="0"/>
    <w:pPr>
      <w:widowControl/>
      <w:spacing w:before="100" w:beforeAutospacing="1" w:after="100" w:afterAutospacing="1"/>
      <w:jc w:val="center"/>
    </w:pPr>
    <w:rPr>
      <w:rFonts w:ascii="仿宋_GB2312" w:hAnsi="宋体" w:eastAsia="仿宋_GB2312" w:cs="宋体"/>
      <w:kern w:val="0"/>
      <w:sz w:val="24"/>
    </w:rPr>
  </w:style>
  <w:style w:type="paragraph" w:customStyle="1" w:styleId="47">
    <w:name w:val="Revision"/>
    <w:hidden/>
    <w:unhideWhenUsed/>
    <w:uiPriority w:val="99"/>
    <w:rPr>
      <w:rFonts w:ascii="Times New Roman" w:hAnsi="Times New Roman" w:eastAsia="宋体" w:cs="Times New Roman"/>
      <w:kern w:val="2"/>
      <w:sz w:val="21"/>
      <w:szCs w:val="24"/>
      <w:lang w:val="en-US" w:eastAsia="zh-CN" w:bidi="ar-SA"/>
    </w:rPr>
  </w:style>
  <w:style w:type="paragraph" w:customStyle="1" w:styleId="48">
    <w:name w:val="font7"/>
    <w:basedOn w:val="1"/>
    <w:uiPriority w:val="0"/>
    <w:pPr>
      <w:widowControl/>
      <w:spacing w:before="100" w:beforeAutospacing="1" w:after="100" w:afterAutospacing="1"/>
      <w:jc w:val="left"/>
    </w:pPr>
    <w:rPr>
      <w:rFonts w:ascii="宋体" w:hAnsi="宋体" w:cs="宋体"/>
      <w:kern w:val="0"/>
      <w:sz w:val="18"/>
      <w:szCs w:val="18"/>
    </w:rPr>
  </w:style>
  <w:style w:type="character" w:customStyle="1" w:styleId="49">
    <w:name w:val="批注文字 Char"/>
    <w:basedOn w:val="8"/>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27830-BFC0-4459-AC7C-329C8F848E1E}">
  <ds:schemaRefs/>
</ds:datastoreItem>
</file>

<file path=docProps/app.xml><?xml version="1.0" encoding="utf-8"?>
<Properties xmlns="http://schemas.openxmlformats.org/officeDocument/2006/extended-properties" xmlns:vt="http://schemas.openxmlformats.org/officeDocument/2006/docPropsVTypes">
  <Template>Normal</Template>
  <Pages>21</Pages>
  <Words>1363</Words>
  <Characters>7770</Characters>
  <Lines>64</Lines>
  <Paragraphs>18</Paragraphs>
  <TotalTime>10</TotalTime>
  <ScaleCrop>false</ScaleCrop>
  <LinksUpToDate>false</LinksUpToDate>
  <CharactersWithSpaces>9115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2024-01-16T06:57:00Z</dcterms:created>
  <dc:creator>胡心</dc:creator>
  <cp:lastModifiedBy>Administrator</cp:lastModifiedBy>
  <dcterms:modified xsi:type="dcterms:W3CDTF">2024-01-16T08:29:24Z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EF0FC25DDCB94150B24B0DBA9F52FB8D_13</vt:lpwstr>
  </property>
</Properties>
</file>