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黑体" w:hAnsi="黑体" w:eastAsia="黑体" w:cs="黑体"/>
          <w:color w:val="auto"/>
          <w:sz w:val="32"/>
          <w:szCs w:val="32"/>
        </w:rPr>
      </w:pPr>
      <w:r>
        <w:rPr>
          <w:rFonts w:hint="eastAsia" w:ascii="黑体" w:hAnsi="黑体" w:eastAsia="黑体" w:cs="黑体"/>
          <w:color w:val="auto"/>
          <w:sz w:val="32"/>
          <w:szCs w:val="32"/>
        </w:rPr>
        <w:t>附件2</w:t>
      </w:r>
    </w:p>
    <w:p>
      <w:pPr>
        <w:spacing w:line="560" w:lineRule="exact"/>
        <w:jc w:val="center"/>
        <w:rPr>
          <w:rFonts w:hint="default" w:ascii="Times New Roman" w:hAnsi="Times New Roman" w:eastAsia="方正小标宋简体" w:cs="Times New Roman"/>
          <w:bCs/>
          <w:color w:val="auto"/>
          <w:kern w:val="0"/>
          <w:sz w:val="44"/>
          <w:szCs w:val="44"/>
          <w:lang w:val="en-US" w:eastAsia="zh-CN"/>
        </w:rPr>
      </w:pPr>
      <w:r>
        <w:rPr>
          <w:rFonts w:hint="default" w:ascii="Times New Roman" w:hAnsi="Times New Roman" w:eastAsia="方正小标宋简体" w:cs="Times New Roman"/>
          <w:bCs/>
          <w:color w:val="auto"/>
          <w:kern w:val="0"/>
          <w:sz w:val="44"/>
          <w:szCs w:val="44"/>
          <w:lang w:val="en-US" w:eastAsia="zh-CN"/>
        </w:rPr>
        <w:t>观山湖区批发零售住宿餐饮业重点企业</w:t>
      </w:r>
    </w:p>
    <w:p>
      <w:pPr>
        <w:spacing w:line="560" w:lineRule="exact"/>
        <w:jc w:val="center"/>
        <w:rPr>
          <w:rFonts w:hint="default" w:ascii="Times New Roman" w:hAnsi="Times New Roman" w:eastAsia="方正小标宋简体" w:cs="Times New Roman"/>
          <w:color w:val="auto"/>
          <w:sz w:val="44"/>
          <w:szCs w:val="44"/>
        </w:rPr>
      </w:pPr>
      <w:r>
        <w:rPr>
          <w:rFonts w:hint="default" w:ascii="Times New Roman" w:hAnsi="Times New Roman" w:eastAsia="方正小标宋简体" w:cs="Times New Roman"/>
          <w:bCs/>
          <w:color w:val="auto"/>
          <w:kern w:val="0"/>
          <w:sz w:val="44"/>
          <w:szCs w:val="44"/>
          <w:lang w:val="en-US" w:eastAsia="zh-CN"/>
        </w:rPr>
        <w:t>提质增效扶持细则</w:t>
      </w:r>
    </w:p>
    <w:p>
      <w:pPr>
        <w:spacing w:line="540" w:lineRule="exact"/>
        <w:ind w:firstLine="640" w:firstLineChars="200"/>
        <w:rPr>
          <w:rFonts w:hint="default" w:ascii="Times New Roman" w:hAnsi="Times New Roman" w:eastAsia="仿宋" w:cs="Times New Roman"/>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为促进观山湖区商贸业持续、快速、健康发展，激发市场主体强劲内生动力，充分发挥批发零售住宿餐饮企业对经济社会发展的示范引领和支撑带动作用，增强经济发展后劲，支持重点企业做大做强，引领观山湖区商贸业高质量发展。结合我区实际，制定本细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一、扶持对象、条件及标准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楷体_GB2312" w:cs="Times New Roman"/>
          <w:b w:val="0"/>
          <w:bCs w:val="0"/>
          <w:color w:val="auto"/>
          <w:sz w:val="32"/>
          <w:szCs w:val="32"/>
        </w:rPr>
      </w:pPr>
      <w:r>
        <w:rPr>
          <w:rFonts w:hint="default" w:ascii="Times New Roman" w:hAnsi="Times New Roman" w:eastAsia="楷体_GB2312" w:cs="Times New Roman"/>
          <w:b w:val="0"/>
          <w:bCs w:val="0"/>
          <w:color w:val="auto"/>
          <w:sz w:val="32"/>
          <w:szCs w:val="32"/>
        </w:rPr>
        <w:t>（一）扶持对象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b w:val="0"/>
          <w:bCs w:val="0"/>
          <w:color w:val="auto"/>
          <w:kern w:val="0"/>
          <w:sz w:val="32"/>
          <w:szCs w:val="32"/>
          <w:highlight w:val="none"/>
          <w:lang w:val="en-US" w:eastAsia="zh-CN"/>
        </w:rPr>
        <w:t>营业执照</w:t>
      </w:r>
      <w:r>
        <w:rPr>
          <w:rFonts w:hint="default" w:ascii="Times New Roman" w:hAnsi="Times New Roman" w:eastAsia="仿宋_GB2312" w:cs="Times New Roman"/>
          <w:b w:val="0"/>
          <w:bCs w:val="0"/>
          <w:color w:val="auto"/>
          <w:kern w:val="0"/>
          <w:sz w:val="32"/>
          <w:szCs w:val="32"/>
          <w:highlight w:val="none"/>
        </w:rPr>
        <w:t>注册</w:t>
      </w:r>
      <w:r>
        <w:rPr>
          <w:rFonts w:hint="default" w:ascii="Times New Roman" w:hAnsi="Times New Roman" w:eastAsia="仿宋_GB2312" w:cs="Times New Roman"/>
          <w:b w:val="0"/>
          <w:bCs w:val="0"/>
          <w:color w:val="auto"/>
          <w:kern w:val="0"/>
          <w:sz w:val="32"/>
          <w:szCs w:val="32"/>
          <w:highlight w:val="none"/>
          <w:lang w:val="en-US" w:eastAsia="zh-CN"/>
        </w:rPr>
        <w:t>登记地、税务</w:t>
      </w:r>
      <w:r>
        <w:rPr>
          <w:rFonts w:hint="default" w:ascii="Times New Roman" w:hAnsi="Times New Roman" w:eastAsia="仿宋_GB2312" w:cs="Times New Roman"/>
          <w:b w:val="0"/>
          <w:bCs w:val="0"/>
          <w:color w:val="auto"/>
          <w:kern w:val="0"/>
          <w:sz w:val="32"/>
          <w:szCs w:val="32"/>
          <w:highlight w:val="none"/>
        </w:rPr>
        <w:t>注册</w:t>
      </w:r>
      <w:r>
        <w:rPr>
          <w:rFonts w:hint="default" w:ascii="Times New Roman" w:hAnsi="Times New Roman" w:eastAsia="仿宋_GB2312" w:cs="Times New Roman"/>
          <w:b w:val="0"/>
          <w:bCs w:val="0"/>
          <w:color w:val="auto"/>
          <w:kern w:val="0"/>
          <w:sz w:val="32"/>
          <w:szCs w:val="32"/>
          <w:highlight w:val="none"/>
          <w:lang w:val="en-US" w:eastAsia="zh-CN"/>
        </w:rPr>
        <w:t>登记地、统计关系地均</w:t>
      </w:r>
      <w:r>
        <w:rPr>
          <w:rFonts w:hint="default" w:ascii="Times New Roman" w:hAnsi="Times New Roman" w:eastAsia="仿宋_GB2312" w:cs="Times New Roman"/>
          <w:b w:val="0"/>
          <w:bCs w:val="0"/>
          <w:color w:val="auto"/>
          <w:kern w:val="0"/>
          <w:sz w:val="32"/>
          <w:szCs w:val="32"/>
          <w:highlight w:val="none"/>
        </w:rPr>
        <w:t>在</w:t>
      </w:r>
      <w:r>
        <w:rPr>
          <w:rFonts w:hint="default" w:ascii="Times New Roman" w:hAnsi="Times New Roman" w:eastAsia="仿宋_GB2312" w:cs="Times New Roman"/>
          <w:b w:val="0"/>
          <w:bCs w:val="0"/>
          <w:color w:val="auto"/>
          <w:kern w:val="0"/>
          <w:sz w:val="32"/>
          <w:szCs w:val="32"/>
          <w:highlight w:val="none"/>
          <w:lang w:eastAsia="zh-CN"/>
        </w:rPr>
        <w:t>观山湖区</w:t>
      </w:r>
      <w:r>
        <w:rPr>
          <w:rFonts w:hint="default" w:ascii="Times New Roman" w:hAnsi="Times New Roman" w:eastAsia="仿宋_GB2312" w:cs="Times New Roman"/>
          <w:b w:val="0"/>
          <w:bCs w:val="0"/>
          <w:color w:val="auto"/>
          <w:kern w:val="0"/>
          <w:sz w:val="32"/>
          <w:szCs w:val="32"/>
          <w:highlight w:val="none"/>
          <w:lang w:val="en-US" w:eastAsia="zh-CN"/>
        </w:rPr>
        <w:t>行政区范围内，且</w:t>
      </w:r>
      <w:r>
        <w:rPr>
          <w:rFonts w:hint="default" w:ascii="Times New Roman" w:hAnsi="Times New Roman" w:eastAsia="仿宋_GB2312" w:cs="Times New Roman"/>
          <w:b w:val="0"/>
          <w:bCs w:val="0"/>
          <w:color w:val="auto"/>
          <w:sz w:val="32"/>
          <w:szCs w:val="32"/>
          <w:highlight w:val="none"/>
          <w:lang w:val="en-US" w:eastAsia="zh-CN"/>
        </w:rPr>
        <w:t>已纳入观山湖区统计名录库的参与GDP核算的</w:t>
      </w:r>
      <w:r>
        <w:rPr>
          <w:rFonts w:hint="default" w:ascii="Times New Roman" w:hAnsi="Times New Roman" w:eastAsia="仿宋_GB2312" w:cs="Times New Roman"/>
          <w:color w:val="auto"/>
          <w:kern w:val="0"/>
          <w:sz w:val="32"/>
          <w:szCs w:val="32"/>
        </w:rPr>
        <w:t>批发零售住宿餐饮企业。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楷体_GB2312" w:cs="Times New Roman"/>
          <w:b w:val="0"/>
          <w:bCs w:val="0"/>
          <w:color w:val="auto"/>
          <w:sz w:val="32"/>
          <w:szCs w:val="32"/>
        </w:rPr>
      </w:pPr>
      <w:r>
        <w:rPr>
          <w:rFonts w:hint="default" w:ascii="Times New Roman" w:hAnsi="Times New Roman" w:eastAsia="楷体_GB2312" w:cs="Times New Roman"/>
          <w:b w:val="0"/>
          <w:bCs w:val="0"/>
          <w:color w:val="auto"/>
          <w:sz w:val="32"/>
          <w:szCs w:val="32"/>
        </w:rPr>
        <w:t>（二）扶持标准</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b/>
          <w:bCs/>
          <w:color w:val="auto"/>
          <w:kern w:val="0"/>
          <w:sz w:val="32"/>
          <w:szCs w:val="32"/>
        </w:rPr>
        <w:t>1.</w:t>
      </w:r>
      <w:r>
        <w:rPr>
          <w:rFonts w:hint="eastAsia" w:ascii="Times New Roman" w:hAnsi="Times New Roman" w:eastAsia="仿宋_GB2312" w:cs="Times New Roman"/>
          <w:b/>
          <w:bCs/>
          <w:color w:val="auto"/>
          <w:kern w:val="0"/>
          <w:sz w:val="32"/>
          <w:szCs w:val="32"/>
          <w:lang w:val="en-US" w:eastAsia="zh-CN"/>
        </w:rPr>
        <w:t xml:space="preserve"> </w:t>
      </w:r>
      <w:r>
        <w:rPr>
          <w:rFonts w:hint="default" w:ascii="Times New Roman" w:hAnsi="Times New Roman" w:eastAsia="仿宋_GB2312" w:cs="Times New Roman"/>
          <w:b/>
          <w:bCs/>
          <w:color w:val="auto"/>
          <w:kern w:val="0"/>
          <w:sz w:val="32"/>
          <w:szCs w:val="32"/>
        </w:rPr>
        <w:t>企业类型划分及达标基准扶持。</w:t>
      </w:r>
      <w:r>
        <w:rPr>
          <w:rFonts w:hint="default" w:ascii="Times New Roman" w:hAnsi="Times New Roman" w:eastAsia="仿宋_GB2312" w:cs="Times New Roman"/>
          <w:color w:val="auto"/>
          <w:kern w:val="0"/>
          <w:sz w:val="32"/>
          <w:szCs w:val="32"/>
        </w:rPr>
        <w:t>根据企业当年1-12月累计销售（营业）收入体量划分为一类企业、二类企业、三类企业。观山湖区</w:t>
      </w:r>
      <w:r>
        <w:rPr>
          <w:rFonts w:hint="eastAsia" w:ascii="Times New Roman" w:hAnsi="Times New Roman" w:eastAsia="仿宋_GB2312" w:cs="Times New Roman"/>
          <w:color w:val="auto"/>
          <w:kern w:val="0"/>
          <w:sz w:val="32"/>
          <w:szCs w:val="32"/>
          <w:lang w:eastAsia="zh-CN"/>
        </w:rPr>
        <w:t>商务投资促进局</w:t>
      </w:r>
      <w:r>
        <w:rPr>
          <w:rFonts w:hint="default" w:ascii="Times New Roman" w:hAnsi="Times New Roman" w:eastAsia="仿宋_GB2312" w:cs="Times New Roman"/>
          <w:color w:val="auto"/>
          <w:kern w:val="0"/>
          <w:sz w:val="32"/>
          <w:szCs w:val="32"/>
        </w:rPr>
        <w:t>和观山湖区</w:t>
      </w:r>
      <w:r>
        <w:rPr>
          <w:rFonts w:hint="eastAsia" w:ascii="Times New Roman" w:hAnsi="Times New Roman" w:eastAsia="仿宋_GB2312" w:cs="Times New Roman"/>
          <w:color w:val="auto"/>
          <w:kern w:val="0"/>
          <w:sz w:val="32"/>
          <w:szCs w:val="32"/>
          <w:lang w:eastAsia="zh-CN"/>
        </w:rPr>
        <w:t>文体广电旅游</w:t>
      </w:r>
      <w:r>
        <w:rPr>
          <w:rFonts w:hint="default" w:ascii="Times New Roman" w:hAnsi="Times New Roman" w:eastAsia="仿宋_GB2312" w:cs="Times New Roman"/>
          <w:color w:val="auto"/>
          <w:kern w:val="0"/>
          <w:sz w:val="32"/>
          <w:szCs w:val="32"/>
          <w:lang w:val="en-US" w:eastAsia="zh-CN"/>
        </w:rPr>
        <w:t>局</w:t>
      </w:r>
      <w:r>
        <w:rPr>
          <w:rFonts w:hint="default" w:ascii="Times New Roman" w:hAnsi="Times New Roman" w:eastAsia="仿宋_GB2312" w:cs="Times New Roman"/>
          <w:color w:val="auto"/>
          <w:kern w:val="0"/>
          <w:sz w:val="32"/>
          <w:szCs w:val="32"/>
        </w:rPr>
        <w:t>根据各自行业发展规划，于每年</w:t>
      </w:r>
      <w:r>
        <w:rPr>
          <w:rFonts w:hint="eastAsia" w:ascii="Times New Roman" w:hAnsi="Times New Roman" w:eastAsia="仿宋_GB2312" w:cs="Times New Roman"/>
          <w:color w:val="auto"/>
          <w:kern w:val="0"/>
          <w:sz w:val="32"/>
          <w:szCs w:val="32"/>
          <w:lang w:val="en-US" w:eastAsia="zh-CN"/>
        </w:rPr>
        <w:t>4</w:t>
      </w:r>
      <w:r>
        <w:rPr>
          <w:rFonts w:hint="default" w:ascii="Times New Roman" w:hAnsi="Times New Roman" w:eastAsia="仿宋_GB2312" w:cs="Times New Roman"/>
          <w:color w:val="auto"/>
          <w:kern w:val="0"/>
          <w:sz w:val="32"/>
          <w:szCs w:val="32"/>
        </w:rPr>
        <w:t>月发布当年限额以上</w:t>
      </w:r>
      <w:r>
        <w:rPr>
          <w:rFonts w:hint="default" w:ascii="Times New Roman" w:hAnsi="Times New Roman" w:eastAsia="仿宋_GB2312" w:cs="Times New Roman"/>
          <w:color w:val="auto"/>
          <w:sz w:val="32"/>
          <w:szCs w:val="32"/>
        </w:rPr>
        <w:t>批零住餐</w:t>
      </w:r>
      <w:r>
        <w:rPr>
          <w:rFonts w:hint="default" w:ascii="Times New Roman" w:hAnsi="Times New Roman" w:eastAsia="仿宋_GB2312" w:cs="Times New Roman"/>
          <w:color w:val="auto"/>
          <w:kern w:val="0"/>
          <w:sz w:val="32"/>
          <w:szCs w:val="32"/>
        </w:rPr>
        <w:t>企业行业板块达标基准线</w:t>
      </w:r>
      <w:r>
        <w:rPr>
          <w:rFonts w:hint="default" w:ascii="Times New Roman" w:hAnsi="Times New Roman" w:eastAsia="仿宋_GB2312" w:cs="Times New Roman"/>
          <w:color w:val="auto"/>
          <w:kern w:val="0"/>
          <w:sz w:val="32"/>
          <w:szCs w:val="32"/>
          <w:lang w:val="en-US" w:eastAsia="zh-CN"/>
        </w:rPr>
        <w:t>（即：批发、零售企业当年1-12月累计营业收入较上年同期增速；住宿、餐饮企业当年1-12月累计销售收入较上年同期增速）</w:t>
      </w:r>
      <w:r>
        <w:rPr>
          <w:rFonts w:hint="default" w:ascii="Times New Roman" w:hAnsi="Times New Roman" w:eastAsia="仿宋_GB2312" w:cs="Times New Roman"/>
          <w:color w:val="auto"/>
          <w:kern w:val="0"/>
          <w:sz w:val="32"/>
          <w:szCs w:val="32"/>
        </w:rPr>
        <w:t>。各行业板块企业达到基准线</w:t>
      </w:r>
      <w:r>
        <w:rPr>
          <w:rFonts w:hint="default" w:ascii="Times New Roman" w:hAnsi="Times New Roman" w:eastAsia="仿宋_GB2312" w:cs="Times New Roman"/>
          <w:color w:val="auto"/>
          <w:kern w:val="0"/>
          <w:sz w:val="32"/>
          <w:szCs w:val="32"/>
          <w:lang w:val="en-US" w:eastAsia="zh-CN"/>
        </w:rPr>
        <w:t>标准</w:t>
      </w:r>
      <w:r>
        <w:rPr>
          <w:rFonts w:hint="default" w:ascii="Times New Roman" w:hAnsi="Times New Roman" w:eastAsia="仿宋_GB2312" w:cs="Times New Roman"/>
          <w:color w:val="auto"/>
          <w:kern w:val="0"/>
          <w:sz w:val="32"/>
          <w:szCs w:val="32"/>
        </w:rPr>
        <w:t>的，根据企业类型分别给予达标基准扶持资金10万元、8万元、5万元。具体企业类型划分及达标基准扶持如下：</w:t>
      </w:r>
    </w:p>
    <w:tbl>
      <w:tblPr>
        <w:tblStyle w:val="12"/>
        <w:tblpPr w:leftFromText="180" w:rightFromText="180" w:vertAnchor="text" w:horzAnchor="page" w:tblpX="1555" w:tblpY="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2"/>
        <w:gridCol w:w="6068"/>
        <w:gridCol w:w="1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b/>
                <w:bCs/>
                <w:color w:val="auto"/>
                <w:kern w:val="0"/>
                <w:szCs w:val="21"/>
              </w:rPr>
            </w:pPr>
            <w:r>
              <w:rPr>
                <w:rFonts w:hint="default" w:ascii="Times New Roman" w:hAnsi="Times New Roman" w:eastAsia="仿宋_GB2312" w:cs="Times New Roman"/>
                <w:b/>
                <w:bCs/>
                <w:color w:val="auto"/>
                <w:kern w:val="0"/>
                <w:szCs w:val="21"/>
              </w:rPr>
              <w:t>企业类型</w:t>
            </w:r>
          </w:p>
        </w:tc>
        <w:tc>
          <w:tcPr>
            <w:tcW w:w="6068"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b/>
                <w:bCs/>
                <w:color w:val="auto"/>
                <w:kern w:val="0"/>
                <w:szCs w:val="21"/>
              </w:rPr>
            </w:pPr>
            <w:r>
              <w:rPr>
                <w:rFonts w:hint="default" w:ascii="Times New Roman" w:hAnsi="Times New Roman" w:eastAsia="仿宋_GB2312" w:cs="Times New Roman"/>
                <w:b/>
                <w:bCs/>
                <w:color w:val="auto"/>
                <w:kern w:val="0"/>
                <w:szCs w:val="21"/>
              </w:rPr>
              <w:t>类型认定标准</w:t>
            </w:r>
          </w:p>
        </w:tc>
        <w:tc>
          <w:tcPr>
            <w:tcW w:w="1507" w:type="dxa"/>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b/>
                <w:bCs/>
                <w:color w:val="auto"/>
                <w:kern w:val="0"/>
                <w:szCs w:val="21"/>
              </w:rPr>
            </w:pPr>
            <w:r>
              <w:rPr>
                <w:rFonts w:hint="default" w:ascii="Times New Roman" w:hAnsi="Times New Roman" w:eastAsia="仿宋_GB2312" w:cs="Times New Roman"/>
                <w:b/>
                <w:bCs/>
                <w:color w:val="auto"/>
                <w:kern w:val="0"/>
                <w:szCs w:val="21"/>
              </w:rPr>
              <w:t>达标基准扶持（万元）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一类企业</w:t>
            </w:r>
          </w:p>
        </w:tc>
        <w:tc>
          <w:tcPr>
            <w:tcW w:w="6068" w:type="dxa"/>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szCs w:val="21"/>
              </w:rPr>
              <w:t>限上批发业企业年度销售额达 20 亿元（含）及以上。</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szCs w:val="21"/>
              </w:rPr>
              <w:t>限上零售业企业年度销售额达 10 亿元（含）及以上。</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szCs w:val="21"/>
              </w:rPr>
              <w:t>限上住宿企业年度销售额达5000万元（含）及以上。</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szCs w:val="21"/>
              </w:rPr>
              <w:t>限上餐饮业企业年度销售额达5000万元（含）及以上。</w:t>
            </w:r>
          </w:p>
        </w:tc>
        <w:tc>
          <w:tcPr>
            <w:tcW w:w="1507" w:type="dxa"/>
            <w:vAlign w:val="center"/>
          </w:tcPr>
          <w:p>
            <w:pPr>
              <w:keepNext w:val="0"/>
              <w:keepLines w:val="0"/>
              <w:pageBreakBefore w:val="0"/>
              <w:widowControl w:val="0"/>
              <w:kinsoku/>
              <w:wordWrap/>
              <w:overflowPunct/>
              <w:topLinePunct w:val="0"/>
              <w:autoSpaceDE/>
              <w:autoSpaceDN/>
              <w:bidi w:val="0"/>
              <w:adjustRightInd/>
              <w:snapToGrid/>
              <w:spacing w:line="500" w:lineRule="exact"/>
              <w:ind w:firstLine="315" w:firstLineChars="150"/>
              <w:jc w:val="both"/>
              <w:textAlignment w:val="auto"/>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szCs w:val="21"/>
              </w:rPr>
              <w:t>10万元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1" w:hRule="atLeast"/>
        </w:trPr>
        <w:tc>
          <w:tcPr>
            <w:tcW w:w="143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二类企业</w:t>
            </w:r>
          </w:p>
        </w:tc>
        <w:tc>
          <w:tcPr>
            <w:tcW w:w="6068" w:type="dxa"/>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szCs w:val="21"/>
              </w:rPr>
              <w:t>限上批发业企业年度销售额达 10（含）-20 亿元及以上。</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szCs w:val="21"/>
              </w:rPr>
              <w:t>限上零售业企业年度销售额达 5（含）-10 亿元及以上。</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szCs w:val="21"/>
              </w:rPr>
              <w:t>限上住宿企业年度销售额达1000万（含）-5000万及以上。</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szCs w:val="21"/>
              </w:rPr>
              <w:t>限上餐饮业企业年度销售额达 2000万（含）-5000万元及以上。</w:t>
            </w:r>
          </w:p>
        </w:tc>
        <w:tc>
          <w:tcPr>
            <w:tcW w:w="1507"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szCs w:val="21"/>
              </w:rPr>
              <w:t>8万元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三类企业</w:t>
            </w:r>
          </w:p>
        </w:tc>
        <w:tc>
          <w:tcPr>
            <w:tcW w:w="6068" w:type="dxa"/>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szCs w:val="21"/>
              </w:rPr>
              <w:t>限上批发业企业年度销售额达</w:t>
            </w:r>
            <w:r>
              <w:rPr>
                <w:rFonts w:hint="default" w:ascii="Times New Roman" w:hAnsi="Times New Roman" w:eastAsia="仿宋_GB2312" w:cs="Times New Roman"/>
                <w:color w:val="auto"/>
                <w:szCs w:val="21"/>
                <w:u w:val="single"/>
              </w:rPr>
              <w:t xml:space="preserve"> 5（含）-10 </w:t>
            </w:r>
            <w:r>
              <w:rPr>
                <w:rFonts w:hint="default" w:ascii="Times New Roman" w:hAnsi="Times New Roman" w:eastAsia="仿宋_GB2312" w:cs="Times New Roman"/>
                <w:color w:val="auto"/>
                <w:szCs w:val="21"/>
              </w:rPr>
              <w:t>亿元及以上。</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szCs w:val="21"/>
              </w:rPr>
              <w:t>限上零售业企业年度销售额达</w:t>
            </w:r>
            <w:r>
              <w:rPr>
                <w:rFonts w:hint="default" w:ascii="Times New Roman" w:hAnsi="Times New Roman" w:eastAsia="仿宋_GB2312" w:cs="Times New Roman"/>
                <w:color w:val="auto"/>
                <w:szCs w:val="21"/>
                <w:u w:val="single"/>
              </w:rPr>
              <w:t xml:space="preserve"> 1（含）-5</w:t>
            </w:r>
            <w:r>
              <w:rPr>
                <w:rFonts w:hint="default" w:ascii="Times New Roman" w:hAnsi="Times New Roman" w:eastAsia="仿宋_GB2312" w:cs="Times New Roman"/>
                <w:color w:val="auto"/>
                <w:szCs w:val="21"/>
              </w:rPr>
              <w:t>亿元及以上。</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szCs w:val="21"/>
              </w:rPr>
              <w:t>限上住宿企业年度销售额达</w:t>
            </w:r>
            <w:r>
              <w:rPr>
                <w:rFonts w:hint="default" w:ascii="Times New Roman" w:hAnsi="Times New Roman" w:eastAsia="仿宋_GB2312" w:cs="Times New Roman"/>
                <w:color w:val="auto"/>
                <w:szCs w:val="21"/>
                <w:u w:val="single"/>
              </w:rPr>
              <w:t>500万（含）-1000</w:t>
            </w:r>
            <w:r>
              <w:rPr>
                <w:rFonts w:hint="default" w:ascii="Times New Roman" w:hAnsi="Times New Roman" w:eastAsia="仿宋_GB2312" w:cs="Times New Roman"/>
                <w:color w:val="auto"/>
                <w:szCs w:val="21"/>
              </w:rPr>
              <w:t>万及以上。</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szCs w:val="21"/>
              </w:rPr>
              <w:t>限上餐饮业企业年度销售额达</w:t>
            </w:r>
            <w:r>
              <w:rPr>
                <w:rFonts w:hint="default" w:ascii="Times New Roman" w:hAnsi="Times New Roman" w:eastAsia="仿宋_GB2312" w:cs="Times New Roman"/>
                <w:color w:val="auto"/>
                <w:szCs w:val="21"/>
                <w:u w:val="single"/>
              </w:rPr>
              <w:t xml:space="preserve"> 1000万（含）-2000万</w:t>
            </w:r>
            <w:r>
              <w:rPr>
                <w:rFonts w:hint="default" w:ascii="Times New Roman" w:hAnsi="Times New Roman" w:eastAsia="仿宋_GB2312" w:cs="Times New Roman"/>
                <w:color w:val="auto"/>
                <w:szCs w:val="21"/>
              </w:rPr>
              <w:t>元及以上。</w:t>
            </w:r>
          </w:p>
        </w:tc>
        <w:tc>
          <w:tcPr>
            <w:tcW w:w="1507" w:type="dxa"/>
            <w:vAlign w:val="center"/>
          </w:tcPr>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both"/>
              <w:textAlignment w:val="auto"/>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szCs w:val="21"/>
              </w:rPr>
              <w:t>5万元</w:t>
            </w:r>
          </w:p>
        </w:tc>
      </w:tr>
    </w:tbl>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color w:val="auto"/>
          <w:sz w:val="32"/>
          <w:szCs w:val="32"/>
        </w:rPr>
      </w:pPr>
      <w:r>
        <w:rPr>
          <w:rFonts w:hint="default" w:ascii="Times New Roman" w:hAnsi="Times New Roman" w:eastAsia="仿宋_GB2312" w:cs="Times New Roman"/>
          <w:b/>
          <w:bCs/>
          <w:color w:val="auto"/>
          <w:sz w:val="32"/>
          <w:szCs w:val="32"/>
        </w:rPr>
        <w:t>贡献度扶持。</w:t>
      </w:r>
      <w:r>
        <w:rPr>
          <w:rFonts w:hint="default" w:ascii="Times New Roman" w:hAnsi="Times New Roman" w:eastAsia="仿宋_GB2312" w:cs="Times New Roman"/>
          <w:b w:val="0"/>
          <w:bCs w:val="0"/>
          <w:color w:val="auto"/>
          <w:sz w:val="32"/>
          <w:szCs w:val="32"/>
        </w:rPr>
        <w:t>按照企业规模及全区经济发展的贡献情况，对超出达标基准线以上的</w:t>
      </w:r>
      <w:r>
        <w:rPr>
          <w:rFonts w:hint="default" w:ascii="Times New Roman" w:hAnsi="Times New Roman" w:eastAsia="仿宋_GB2312" w:cs="Times New Roman"/>
          <w:color w:val="auto"/>
          <w:kern w:val="0"/>
          <w:sz w:val="32"/>
          <w:szCs w:val="32"/>
        </w:rPr>
        <w:t>限额以上</w:t>
      </w:r>
      <w:r>
        <w:rPr>
          <w:rFonts w:hint="default" w:ascii="Times New Roman" w:hAnsi="Times New Roman" w:eastAsia="仿宋_GB2312" w:cs="Times New Roman"/>
          <w:color w:val="auto"/>
          <w:sz w:val="32"/>
          <w:szCs w:val="32"/>
        </w:rPr>
        <w:t>批零住餐</w:t>
      </w:r>
      <w:r>
        <w:rPr>
          <w:rFonts w:hint="default" w:ascii="Times New Roman" w:hAnsi="Times New Roman" w:eastAsia="仿宋_GB2312" w:cs="Times New Roman"/>
          <w:color w:val="auto"/>
          <w:kern w:val="0"/>
          <w:sz w:val="32"/>
          <w:szCs w:val="32"/>
        </w:rPr>
        <w:t>企业</w:t>
      </w:r>
      <w:r>
        <w:rPr>
          <w:rFonts w:hint="default" w:ascii="Times New Roman" w:hAnsi="Times New Roman" w:eastAsia="仿宋_GB2312" w:cs="Times New Roman"/>
          <w:b w:val="0"/>
          <w:bCs w:val="0"/>
          <w:color w:val="auto"/>
          <w:sz w:val="32"/>
          <w:szCs w:val="32"/>
        </w:rPr>
        <w:t>，在达标基准扶持基础上按企业当年经济贡献中区级留存部分再给予相应比例资金扶持。具体企业贡献度扶持如下：</w:t>
      </w:r>
    </w:p>
    <w:tbl>
      <w:tblPr>
        <w:tblStyle w:val="12"/>
        <w:tblpPr w:leftFromText="180" w:rightFromText="180" w:vertAnchor="text" w:horzAnchor="page" w:tblpX="1555" w:tblpY="9"/>
        <w:tblOverlap w:val="never"/>
        <w:tblW w:w="93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25"/>
        <w:gridCol w:w="3536"/>
        <w:gridCol w:w="2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5" w:type="dxa"/>
          </w:tcPr>
          <w:p>
            <w:pPr>
              <w:spacing w:line="560" w:lineRule="exact"/>
              <w:jc w:val="center"/>
              <w:rPr>
                <w:rFonts w:hint="default" w:ascii="Times New Roman" w:hAnsi="Times New Roman" w:eastAsia="仿宋_GB2312" w:cs="Times New Roman"/>
                <w:b/>
                <w:bCs/>
                <w:color w:val="auto"/>
                <w:kern w:val="0"/>
                <w:szCs w:val="21"/>
              </w:rPr>
            </w:pPr>
            <w:r>
              <w:rPr>
                <w:rFonts w:hint="default" w:ascii="Times New Roman" w:hAnsi="Times New Roman" w:eastAsia="仿宋_GB2312" w:cs="Times New Roman"/>
                <w:b/>
                <w:bCs/>
                <w:color w:val="auto"/>
                <w:kern w:val="0"/>
                <w:szCs w:val="21"/>
              </w:rPr>
              <w:t>超过基准线标准</w:t>
            </w:r>
          </w:p>
        </w:tc>
        <w:tc>
          <w:tcPr>
            <w:tcW w:w="3536" w:type="dxa"/>
          </w:tcPr>
          <w:p>
            <w:pPr>
              <w:spacing w:line="560" w:lineRule="exact"/>
              <w:jc w:val="center"/>
              <w:rPr>
                <w:rFonts w:hint="default" w:ascii="Times New Roman" w:hAnsi="Times New Roman" w:eastAsia="仿宋_GB2312" w:cs="Times New Roman"/>
                <w:b/>
                <w:bCs/>
                <w:color w:val="auto"/>
                <w:kern w:val="0"/>
                <w:szCs w:val="21"/>
              </w:rPr>
            </w:pPr>
            <w:r>
              <w:rPr>
                <w:rFonts w:hint="default" w:ascii="Times New Roman" w:hAnsi="Times New Roman" w:eastAsia="仿宋_GB2312" w:cs="Times New Roman"/>
                <w:b/>
                <w:bCs/>
                <w:color w:val="auto"/>
                <w:kern w:val="0"/>
                <w:szCs w:val="21"/>
              </w:rPr>
              <w:t>贡献度扶持</w:t>
            </w:r>
          </w:p>
        </w:tc>
        <w:tc>
          <w:tcPr>
            <w:tcW w:w="2040" w:type="dxa"/>
          </w:tcPr>
          <w:p>
            <w:pPr>
              <w:spacing w:line="560" w:lineRule="exact"/>
              <w:jc w:val="center"/>
              <w:rPr>
                <w:rFonts w:hint="default" w:ascii="Times New Roman" w:hAnsi="Times New Roman" w:eastAsia="仿宋_GB2312" w:cs="Times New Roman"/>
                <w:b/>
                <w:bCs/>
                <w:color w:val="auto"/>
                <w:kern w:val="0"/>
                <w:szCs w:val="21"/>
              </w:rPr>
            </w:pPr>
            <w:r>
              <w:rPr>
                <w:rFonts w:hint="default" w:ascii="Times New Roman" w:hAnsi="Times New Roman" w:eastAsia="仿宋_GB2312" w:cs="Times New Roman"/>
                <w:b/>
                <w:bCs/>
                <w:color w:val="auto"/>
                <w:kern w:val="0"/>
                <w:szCs w:val="21"/>
              </w:rPr>
              <w:t>封顶扶持（万元）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5" w:type="dxa"/>
            <w:vAlign w:val="top"/>
          </w:tcPr>
          <w:p>
            <w:pPr>
              <w:numPr>
                <w:ilvl w:val="0"/>
                <w:numId w:val="0"/>
              </w:numPr>
              <w:spacing w:line="560" w:lineRule="exact"/>
              <w:ind w:left="0" w:leftChars="0" w:firstLine="0" w:firstLineChars="0"/>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b w:val="0"/>
                <w:bCs w:val="0"/>
                <w:color w:val="auto"/>
                <w:kern w:val="0"/>
                <w:sz w:val="21"/>
                <w:szCs w:val="21"/>
                <w:highlight w:val="none"/>
                <w:vertAlign w:val="baseline"/>
                <w:lang w:val="en-US" w:eastAsia="zh-CN"/>
              </w:rPr>
              <w:t>达到基准线1.2倍（含本数）</w:t>
            </w:r>
          </w:p>
        </w:tc>
        <w:tc>
          <w:tcPr>
            <w:tcW w:w="3536" w:type="dxa"/>
          </w:tcPr>
          <w:p>
            <w:pPr>
              <w:spacing w:line="56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区级留存部分20%给予扶持</w:t>
            </w:r>
          </w:p>
        </w:tc>
        <w:tc>
          <w:tcPr>
            <w:tcW w:w="2040" w:type="dxa"/>
            <w:vMerge w:val="restart"/>
            <w:vAlign w:val="center"/>
          </w:tcPr>
          <w:p>
            <w:pPr>
              <w:spacing w:line="56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20万元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5" w:type="dxa"/>
            <w:vAlign w:val="top"/>
          </w:tcPr>
          <w:p>
            <w:pPr>
              <w:numPr>
                <w:ilvl w:val="0"/>
                <w:numId w:val="0"/>
              </w:numPr>
              <w:spacing w:line="560" w:lineRule="exact"/>
              <w:ind w:left="0" w:leftChars="0" w:firstLine="0" w:firstLineChars="0"/>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b w:val="0"/>
                <w:bCs w:val="0"/>
                <w:color w:val="auto"/>
                <w:kern w:val="0"/>
                <w:sz w:val="21"/>
                <w:szCs w:val="21"/>
                <w:highlight w:val="none"/>
                <w:vertAlign w:val="baseline"/>
                <w:lang w:val="en-US" w:eastAsia="zh-CN"/>
              </w:rPr>
              <w:t>达到基准线1.4倍（含本数）</w:t>
            </w:r>
          </w:p>
        </w:tc>
        <w:tc>
          <w:tcPr>
            <w:tcW w:w="3536" w:type="dxa"/>
          </w:tcPr>
          <w:p>
            <w:pPr>
              <w:spacing w:line="56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区级留存部分30%给予扶持</w:t>
            </w:r>
          </w:p>
        </w:tc>
        <w:tc>
          <w:tcPr>
            <w:tcW w:w="2040" w:type="dxa"/>
            <w:vMerge w:val="continue"/>
          </w:tcPr>
          <w:p>
            <w:pPr>
              <w:spacing w:line="560" w:lineRule="exact"/>
              <w:jc w:val="center"/>
              <w:rPr>
                <w:rFonts w:hint="default" w:ascii="Times New Roman" w:hAnsi="Times New Roman" w:eastAsia="仿宋_GB2312" w:cs="Times New Roman"/>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5" w:type="dxa"/>
            <w:vAlign w:val="top"/>
          </w:tcPr>
          <w:p>
            <w:pPr>
              <w:numPr>
                <w:ilvl w:val="0"/>
                <w:numId w:val="0"/>
              </w:numPr>
              <w:spacing w:line="560" w:lineRule="exact"/>
              <w:ind w:left="0" w:leftChars="0" w:firstLine="0" w:firstLineChars="0"/>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b w:val="0"/>
                <w:bCs w:val="0"/>
                <w:color w:val="auto"/>
                <w:kern w:val="0"/>
                <w:sz w:val="21"/>
                <w:szCs w:val="21"/>
                <w:highlight w:val="none"/>
                <w:vertAlign w:val="baseline"/>
                <w:lang w:val="en-US" w:eastAsia="zh-CN"/>
              </w:rPr>
              <w:t>达到基准线1.6倍（含本数）</w:t>
            </w:r>
          </w:p>
        </w:tc>
        <w:tc>
          <w:tcPr>
            <w:tcW w:w="3536" w:type="dxa"/>
          </w:tcPr>
          <w:p>
            <w:pPr>
              <w:spacing w:line="56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区级留存部分40%给予扶持</w:t>
            </w:r>
          </w:p>
        </w:tc>
        <w:tc>
          <w:tcPr>
            <w:tcW w:w="2040" w:type="dxa"/>
            <w:vMerge w:val="continue"/>
          </w:tcPr>
          <w:p>
            <w:pPr>
              <w:spacing w:line="560" w:lineRule="exact"/>
              <w:jc w:val="center"/>
              <w:rPr>
                <w:rFonts w:hint="default" w:ascii="Times New Roman" w:hAnsi="Times New Roman" w:eastAsia="仿宋_GB2312" w:cs="Times New Roman"/>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5" w:type="dxa"/>
            <w:vAlign w:val="top"/>
          </w:tcPr>
          <w:p>
            <w:pPr>
              <w:numPr>
                <w:ilvl w:val="0"/>
                <w:numId w:val="0"/>
              </w:numPr>
              <w:spacing w:line="560" w:lineRule="exact"/>
              <w:ind w:left="0" w:leftChars="0" w:firstLine="0" w:firstLineChars="0"/>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b w:val="0"/>
                <w:bCs w:val="0"/>
                <w:color w:val="auto"/>
                <w:kern w:val="0"/>
                <w:sz w:val="21"/>
                <w:szCs w:val="21"/>
                <w:highlight w:val="none"/>
                <w:vertAlign w:val="baseline"/>
                <w:lang w:val="en-US" w:eastAsia="zh-CN"/>
              </w:rPr>
              <w:t>达到基准线1.8倍（含本数）</w:t>
            </w:r>
          </w:p>
        </w:tc>
        <w:tc>
          <w:tcPr>
            <w:tcW w:w="3536" w:type="dxa"/>
          </w:tcPr>
          <w:p>
            <w:pPr>
              <w:spacing w:line="560" w:lineRule="exact"/>
              <w:jc w:val="center"/>
              <w:rPr>
                <w:rFonts w:hint="default" w:ascii="Times New Roman" w:hAnsi="Times New Roman" w:eastAsia="仿宋_GB2312" w:cs="Times New Roman"/>
                <w:color w:val="auto"/>
                <w:kern w:val="0"/>
                <w:szCs w:val="21"/>
              </w:rPr>
            </w:pPr>
            <w:r>
              <w:rPr>
                <w:rFonts w:hint="default" w:ascii="Times New Roman" w:hAnsi="Times New Roman" w:eastAsia="仿宋_GB2312" w:cs="Times New Roman"/>
                <w:color w:val="auto"/>
                <w:kern w:val="0"/>
                <w:szCs w:val="21"/>
              </w:rPr>
              <w:t>区级留存部分50%给予扶持</w:t>
            </w:r>
          </w:p>
        </w:tc>
        <w:tc>
          <w:tcPr>
            <w:tcW w:w="2040" w:type="dxa"/>
            <w:vMerge w:val="continue"/>
          </w:tcPr>
          <w:p>
            <w:pPr>
              <w:spacing w:line="560" w:lineRule="exact"/>
              <w:jc w:val="center"/>
              <w:rPr>
                <w:rFonts w:hint="default" w:ascii="Times New Roman" w:hAnsi="Times New Roman" w:eastAsia="仿宋_GB2312" w:cs="Times New Roman"/>
                <w:color w:val="auto"/>
                <w:kern w:val="0"/>
                <w:szCs w:val="21"/>
              </w:rPr>
            </w:pPr>
          </w:p>
        </w:tc>
      </w:tr>
    </w:tbl>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3"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bCs/>
          <w:color w:val="auto"/>
          <w:sz w:val="32"/>
          <w:szCs w:val="32"/>
          <w:lang w:val="en-US" w:eastAsia="zh-CN"/>
        </w:rPr>
        <w:t>一事一议扶持。</w:t>
      </w:r>
      <w:r>
        <w:rPr>
          <w:rFonts w:hint="default" w:ascii="Times New Roman" w:hAnsi="Times New Roman" w:eastAsia="仿宋_GB2312" w:cs="Times New Roman"/>
          <w:color w:val="auto"/>
          <w:sz w:val="32"/>
          <w:szCs w:val="32"/>
        </w:rPr>
        <w:t>针对符合申报条件的批零住餐企业，</w:t>
      </w:r>
      <w:r>
        <w:rPr>
          <w:rFonts w:hint="default" w:ascii="Times New Roman" w:hAnsi="Times New Roman" w:eastAsia="仿宋_GB2312" w:cs="Times New Roman"/>
          <w:b w:val="0"/>
          <w:bCs w:val="0"/>
          <w:color w:val="auto"/>
          <w:sz w:val="32"/>
          <w:szCs w:val="32"/>
        </w:rPr>
        <w:t>当年经济贡献中</w:t>
      </w:r>
      <w:r>
        <w:rPr>
          <w:rFonts w:hint="default" w:ascii="Times New Roman" w:hAnsi="Times New Roman" w:eastAsia="仿宋_GB2312" w:cs="Times New Roman"/>
          <w:color w:val="auto"/>
          <w:sz w:val="32"/>
          <w:szCs w:val="32"/>
        </w:rPr>
        <w:t>区级留存部分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较去年新增超过3500万元的</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不含本数</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，可采取</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一事一议</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方式给予扶持。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二、申报材料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（一）观山湖区批零住餐业重点企业提质增效扶持资金申报表</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原件</w:t>
      </w:r>
      <w:r>
        <w:rPr>
          <w:rFonts w:hint="default"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（二）营业执照（复印件）</w:t>
      </w:r>
      <w:r>
        <w:rPr>
          <w:rFonts w:hint="eastAsia"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（三）</w:t>
      </w:r>
      <w:r>
        <w:rPr>
          <w:rFonts w:hint="default" w:ascii="Times New Roman" w:hAnsi="Times New Roman" w:eastAsia="仿宋_GB2312" w:cs="Times New Roman"/>
          <w:color w:val="auto"/>
          <w:sz w:val="32"/>
          <w:szCs w:val="32"/>
          <w:lang w:val="en-US" w:eastAsia="zh-CN"/>
        </w:rPr>
        <w:t>统计</w:t>
      </w:r>
      <w:r>
        <w:rPr>
          <w:rFonts w:hint="default" w:ascii="Times New Roman" w:hAnsi="Times New Roman" w:eastAsia="仿宋_GB2312" w:cs="Times New Roman"/>
          <w:color w:val="auto"/>
          <w:sz w:val="32"/>
          <w:szCs w:val="32"/>
        </w:rPr>
        <w:t>联网直报</w:t>
      </w:r>
      <w:r>
        <w:rPr>
          <w:rFonts w:hint="default" w:ascii="Times New Roman" w:hAnsi="Times New Roman" w:eastAsia="仿宋_GB2312" w:cs="Times New Roman"/>
          <w:color w:val="auto"/>
          <w:sz w:val="32"/>
          <w:szCs w:val="32"/>
          <w:lang w:val="en-US" w:eastAsia="zh-CN"/>
        </w:rPr>
        <w:t>平台</w:t>
      </w:r>
      <w:r>
        <w:rPr>
          <w:rFonts w:hint="default" w:ascii="Times New Roman" w:hAnsi="Times New Roman" w:eastAsia="仿宋_GB2312" w:cs="Times New Roman"/>
          <w:color w:val="auto"/>
          <w:sz w:val="32"/>
          <w:szCs w:val="32"/>
        </w:rPr>
        <w:t>截图（复印件）</w:t>
      </w:r>
      <w:r>
        <w:rPr>
          <w:rFonts w:hint="eastAsia" w:ascii="Times New Roman" w:hAnsi="Times New Roman" w:eastAsia="仿宋_GB2312" w:cs="Times New Roman"/>
          <w:color w:val="auto"/>
          <w:sz w:val="32"/>
          <w:szCs w:val="32"/>
          <w:lang w:eastAsia="zh-CN"/>
        </w:rPr>
        <w:t>；</w:t>
      </w:r>
    </w:p>
    <w:p>
      <w:pPr>
        <w:pStyle w:val="2"/>
        <w:pageBreakBefore w:val="0"/>
        <w:widowControl w:val="0"/>
        <w:kinsoku/>
        <w:wordWrap/>
        <w:overflowPunct/>
        <w:topLinePunct w:val="0"/>
        <w:bidi w:val="0"/>
        <w:snapToGrid/>
        <w:spacing w:after="0" w:line="560" w:lineRule="exact"/>
        <w:ind w:left="0" w:leftChars="0" w:firstLine="640" w:firstLineChars="200"/>
        <w:textAlignment w:val="auto"/>
        <w:rPr>
          <w:rFonts w:hint="eastAsia"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（四）</w:t>
      </w:r>
      <w:r>
        <w:rPr>
          <w:rFonts w:hint="eastAsia" w:ascii="Times New Roman" w:hAnsi="Times New Roman" w:eastAsia="仿宋_GB2312" w:cs="Times New Roman"/>
          <w:color w:val="auto"/>
          <w:kern w:val="2"/>
          <w:sz w:val="32"/>
          <w:szCs w:val="32"/>
          <w:lang w:val="en-US" w:eastAsia="zh-CN" w:bidi="ar-SA"/>
        </w:rPr>
        <w:t>全年完税凭证</w:t>
      </w:r>
      <w:r>
        <w:rPr>
          <w:rFonts w:hint="default" w:ascii="Times New Roman" w:hAnsi="Times New Roman" w:eastAsia="仿宋_GB2312" w:cs="Times New Roman"/>
          <w:color w:val="auto"/>
          <w:kern w:val="2"/>
          <w:sz w:val="32"/>
          <w:szCs w:val="32"/>
          <w:lang w:val="en-US" w:eastAsia="zh-CN" w:bidi="ar-SA"/>
        </w:rPr>
        <w:t>（复印件）</w:t>
      </w:r>
      <w:r>
        <w:rPr>
          <w:rFonts w:hint="eastAsia" w:ascii="Times New Roman" w:hAnsi="Times New Roman" w:eastAsia="仿宋_GB2312" w:cs="Times New Roman"/>
          <w:color w:val="auto"/>
          <w:kern w:val="2"/>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（五）企业信用信息报告（信用中国平台下载）（复印件）；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（六）观山湖区批零住餐业重点企业提质增效扶持资金申报真实性承诺书</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原件</w:t>
      </w:r>
      <w:r>
        <w:rPr>
          <w:rFonts w:hint="default"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（七）所有提交资料均需加盖申报企业公章。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三、申报流程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楷体_GB2312" w:cs="Times New Roman"/>
          <w:b w:val="0"/>
          <w:bCs w:val="0"/>
          <w:color w:val="auto"/>
          <w:sz w:val="32"/>
          <w:szCs w:val="32"/>
        </w:rPr>
        <w:t>（一）</w:t>
      </w:r>
      <w:r>
        <w:rPr>
          <w:rFonts w:hint="default" w:ascii="Times New Roman" w:hAnsi="Times New Roman" w:eastAsia="楷体_GB2312" w:cs="Times New Roman"/>
          <w:b w:val="0"/>
          <w:bCs w:val="0"/>
          <w:color w:val="auto"/>
          <w:kern w:val="2"/>
          <w:sz w:val="32"/>
          <w:szCs w:val="32"/>
          <w:highlight w:val="none"/>
          <w:lang w:val="en-US" w:eastAsia="zh-CN" w:bidi="ar-SA"/>
        </w:rPr>
        <w:t>审核。</w:t>
      </w:r>
      <w:r>
        <w:rPr>
          <w:rFonts w:hint="default" w:ascii="Times New Roman" w:hAnsi="Times New Roman" w:eastAsia="仿宋_GB2312" w:cs="Times New Roman"/>
          <w:color w:val="auto"/>
          <w:sz w:val="32"/>
          <w:szCs w:val="32"/>
        </w:rPr>
        <w:t>符合条件的企业于每年4月1日至4月10日</w:t>
      </w:r>
      <w:r>
        <w:rPr>
          <w:rFonts w:hint="default" w:ascii="Times New Roman" w:hAnsi="Times New Roman" w:eastAsia="仿宋_GB2312" w:cs="Times New Roman"/>
          <w:color w:val="auto"/>
          <w:sz w:val="32"/>
          <w:szCs w:val="32"/>
          <w:lang w:val="en-US" w:eastAsia="zh-CN"/>
        </w:rPr>
        <w:t>止</w:t>
      </w:r>
      <w:r>
        <w:rPr>
          <w:rFonts w:hint="default" w:ascii="Times New Roman" w:hAnsi="Times New Roman" w:eastAsia="仿宋_GB2312" w:cs="Times New Roman"/>
          <w:color w:val="auto"/>
          <w:sz w:val="32"/>
          <w:szCs w:val="32"/>
        </w:rPr>
        <w:t>，按照</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申报材料要求</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向观山湖区</w:t>
      </w:r>
      <w:r>
        <w:rPr>
          <w:rFonts w:hint="eastAsia" w:ascii="Times New Roman" w:hAnsi="Times New Roman" w:eastAsia="仿宋_GB2312" w:cs="Times New Roman"/>
          <w:color w:val="auto"/>
          <w:sz w:val="32"/>
          <w:szCs w:val="32"/>
          <w:lang w:eastAsia="zh-CN"/>
        </w:rPr>
        <w:t>商务投资促进局</w:t>
      </w:r>
      <w:r>
        <w:rPr>
          <w:rFonts w:hint="default" w:ascii="Times New Roman" w:hAnsi="Times New Roman" w:eastAsia="仿宋_GB2312" w:cs="Times New Roman"/>
          <w:color w:val="auto"/>
          <w:sz w:val="32"/>
          <w:szCs w:val="32"/>
        </w:rPr>
        <w:t>（批</w:t>
      </w:r>
      <w:r>
        <w:rPr>
          <w:rFonts w:hint="default" w:ascii="Times New Roman" w:hAnsi="Times New Roman" w:eastAsia="仿宋_GB2312" w:cs="Times New Roman"/>
          <w:color w:val="auto"/>
          <w:sz w:val="32"/>
          <w:szCs w:val="32"/>
          <w:lang w:val="en-US" w:eastAsia="zh-CN"/>
        </w:rPr>
        <w:t>发、零售和餐饮业</w:t>
      </w:r>
      <w:r>
        <w:rPr>
          <w:rFonts w:hint="default" w:ascii="Times New Roman" w:hAnsi="Times New Roman" w:eastAsia="仿宋_GB2312" w:cs="Times New Roman"/>
          <w:color w:val="auto"/>
          <w:sz w:val="32"/>
          <w:szCs w:val="32"/>
        </w:rPr>
        <w:t>企业）和观山湖区</w:t>
      </w:r>
      <w:r>
        <w:rPr>
          <w:rFonts w:hint="eastAsia" w:ascii="Times New Roman" w:hAnsi="Times New Roman" w:eastAsia="仿宋_GB2312" w:cs="Times New Roman"/>
          <w:color w:val="auto"/>
          <w:sz w:val="32"/>
          <w:szCs w:val="32"/>
          <w:lang w:eastAsia="zh-CN"/>
        </w:rPr>
        <w:t>文体广电旅游局</w:t>
      </w:r>
      <w:r>
        <w:rPr>
          <w:rFonts w:hint="default" w:ascii="Times New Roman" w:hAnsi="Times New Roman" w:eastAsia="仿宋_GB2312" w:cs="Times New Roman"/>
          <w:color w:val="auto"/>
          <w:sz w:val="32"/>
          <w:szCs w:val="32"/>
        </w:rPr>
        <w:t>（住宿</w:t>
      </w:r>
      <w:r>
        <w:rPr>
          <w:rFonts w:hint="default" w:ascii="Times New Roman" w:hAnsi="Times New Roman" w:eastAsia="仿宋_GB2312" w:cs="Times New Roman"/>
          <w:color w:val="auto"/>
          <w:sz w:val="32"/>
          <w:szCs w:val="32"/>
          <w:lang w:val="en-US" w:eastAsia="zh-CN"/>
        </w:rPr>
        <w:t>业</w:t>
      </w:r>
      <w:r>
        <w:rPr>
          <w:rFonts w:hint="default" w:ascii="Times New Roman" w:hAnsi="Times New Roman" w:eastAsia="仿宋_GB2312" w:cs="Times New Roman"/>
          <w:color w:val="auto"/>
          <w:sz w:val="32"/>
          <w:szCs w:val="32"/>
        </w:rPr>
        <w:t>企业）分别提交申报材料，观山湖区</w:t>
      </w:r>
      <w:r>
        <w:rPr>
          <w:rFonts w:hint="eastAsia" w:ascii="Times New Roman" w:hAnsi="Times New Roman" w:eastAsia="仿宋_GB2312" w:cs="Times New Roman"/>
          <w:color w:val="auto"/>
          <w:sz w:val="32"/>
          <w:szCs w:val="32"/>
          <w:lang w:eastAsia="zh-CN"/>
        </w:rPr>
        <w:t>商务投资促进局</w:t>
      </w:r>
      <w:r>
        <w:rPr>
          <w:rFonts w:hint="default" w:ascii="Times New Roman" w:hAnsi="Times New Roman" w:eastAsia="仿宋_GB2312" w:cs="Times New Roman"/>
          <w:color w:val="auto"/>
          <w:sz w:val="32"/>
          <w:szCs w:val="32"/>
        </w:rPr>
        <w:t>和观山湖区</w:t>
      </w:r>
      <w:r>
        <w:rPr>
          <w:rFonts w:hint="eastAsia" w:ascii="Times New Roman" w:hAnsi="Times New Roman" w:eastAsia="仿宋_GB2312" w:cs="Times New Roman"/>
          <w:color w:val="auto"/>
          <w:sz w:val="32"/>
          <w:szCs w:val="32"/>
          <w:lang w:eastAsia="zh-CN"/>
        </w:rPr>
        <w:t>文体广电旅游局</w:t>
      </w:r>
      <w:r>
        <w:rPr>
          <w:rFonts w:hint="default" w:ascii="Times New Roman" w:hAnsi="Times New Roman" w:eastAsia="仿宋_GB2312" w:cs="Times New Roman"/>
          <w:color w:val="auto"/>
          <w:sz w:val="32"/>
          <w:szCs w:val="32"/>
        </w:rPr>
        <w:t>分别会同镇（街道）对企业提供的申报资料进行审核。</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楷体_GB2312" w:cs="Times New Roman"/>
          <w:b w:val="0"/>
          <w:bCs w:val="0"/>
          <w:color w:val="auto"/>
          <w:kern w:val="2"/>
          <w:sz w:val="32"/>
          <w:szCs w:val="32"/>
          <w:lang w:val="en-US" w:eastAsia="zh-CN" w:bidi="ar-SA"/>
        </w:rPr>
        <w:t>（二）公示。</w:t>
      </w:r>
      <w:r>
        <w:rPr>
          <w:rFonts w:hint="default" w:ascii="Times New Roman" w:hAnsi="Times New Roman" w:eastAsia="仿宋_GB2312" w:cs="Times New Roman"/>
          <w:color w:val="auto"/>
          <w:sz w:val="32"/>
          <w:szCs w:val="32"/>
        </w:rPr>
        <w:t>由观山湖区</w:t>
      </w:r>
      <w:r>
        <w:rPr>
          <w:rFonts w:hint="eastAsia" w:ascii="Times New Roman" w:hAnsi="Times New Roman" w:eastAsia="仿宋_GB2312" w:cs="Times New Roman"/>
          <w:color w:val="auto"/>
          <w:sz w:val="32"/>
          <w:szCs w:val="32"/>
          <w:lang w:eastAsia="zh-CN"/>
        </w:rPr>
        <w:t>商务投资促进局</w:t>
      </w:r>
      <w:r>
        <w:rPr>
          <w:rFonts w:hint="default" w:ascii="Times New Roman" w:hAnsi="Times New Roman" w:eastAsia="仿宋_GB2312" w:cs="Times New Roman"/>
          <w:color w:val="auto"/>
          <w:sz w:val="32"/>
          <w:szCs w:val="32"/>
        </w:rPr>
        <w:t>和</w:t>
      </w:r>
      <w:r>
        <w:rPr>
          <w:rFonts w:hint="eastAsia" w:ascii="Times New Roman" w:hAnsi="Times New Roman" w:eastAsia="仿宋_GB2312" w:cs="Times New Roman"/>
          <w:color w:val="auto"/>
          <w:sz w:val="32"/>
          <w:szCs w:val="32"/>
          <w:lang w:eastAsia="zh-CN"/>
        </w:rPr>
        <w:t>观山湖区文体广电旅游局</w:t>
      </w:r>
      <w:r>
        <w:rPr>
          <w:rFonts w:hint="default" w:ascii="Times New Roman" w:hAnsi="Times New Roman" w:eastAsia="仿宋_GB2312" w:cs="Times New Roman"/>
          <w:color w:val="auto"/>
          <w:sz w:val="32"/>
          <w:szCs w:val="32"/>
        </w:rPr>
        <w:t>分别对审核合格的企业名单，于每年</w:t>
      </w:r>
      <w:r>
        <w:rPr>
          <w:rFonts w:hint="eastAsia"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rPr>
        <w:t>月进行公示，接受社会监督。公示时间不少于5个工作日。</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480" w:firstLineChars="150"/>
        <w:textAlignment w:val="auto"/>
        <w:rPr>
          <w:rFonts w:hint="default" w:ascii="Times New Roman" w:hAnsi="Times New Roman" w:eastAsia="仿宋_GB2312" w:cs="Times New Roman"/>
          <w:color w:val="auto"/>
          <w:sz w:val="32"/>
          <w:szCs w:val="32"/>
        </w:rPr>
      </w:pPr>
      <w:r>
        <w:rPr>
          <w:rFonts w:hint="default" w:ascii="Times New Roman" w:hAnsi="Times New Roman" w:eastAsia="楷体_GB2312" w:cs="Times New Roman"/>
          <w:b w:val="0"/>
          <w:bCs w:val="0"/>
          <w:color w:val="auto"/>
          <w:kern w:val="2"/>
          <w:sz w:val="32"/>
          <w:szCs w:val="32"/>
          <w:lang w:val="en-US" w:eastAsia="zh-CN" w:bidi="ar-SA"/>
        </w:rPr>
        <w:t>（三）奖励兑现。</w:t>
      </w:r>
      <w:r>
        <w:rPr>
          <w:rFonts w:hint="default" w:ascii="Times New Roman" w:hAnsi="Times New Roman" w:eastAsia="仿宋_GB2312" w:cs="Times New Roman"/>
          <w:color w:val="auto"/>
          <w:sz w:val="32"/>
          <w:szCs w:val="32"/>
        </w:rPr>
        <w:t>公示期结束后，由观山湖区</w:t>
      </w:r>
      <w:r>
        <w:rPr>
          <w:rFonts w:hint="eastAsia" w:ascii="Times New Roman" w:hAnsi="Times New Roman" w:eastAsia="仿宋_GB2312" w:cs="Times New Roman"/>
          <w:color w:val="auto"/>
          <w:sz w:val="32"/>
          <w:szCs w:val="32"/>
          <w:lang w:eastAsia="zh-CN"/>
        </w:rPr>
        <w:t>商务投资促进局</w:t>
      </w:r>
      <w:r>
        <w:rPr>
          <w:rFonts w:hint="default" w:ascii="Times New Roman" w:hAnsi="Times New Roman" w:eastAsia="仿宋_GB2312" w:cs="Times New Roman"/>
          <w:color w:val="auto"/>
          <w:sz w:val="32"/>
          <w:szCs w:val="32"/>
        </w:rPr>
        <w:t>和</w:t>
      </w:r>
      <w:r>
        <w:rPr>
          <w:rFonts w:hint="eastAsia" w:ascii="Times New Roman" w:hAnsi="Times New Roman" w:eastAsia="仿宋_GB2312" w:cs="Times New Roman"/>
          <w:color w:val="auto"/>
          <w:sz w:val="32"/>
          <w:szCs w:val="32"/>
          <w:lang w:eastAsia="zh-CN"/>
        </w:rPr>
        <w:t>观山湖区文体广电旅游局</w:t>
      </w:r>
      <w:r>
        <w:rPr>
          <w:rFonts w:hint="default" w:ascii="Times New Roman" w:hAnsi="Times New Roman" w:eastAsia="仿宋_GB2312" w:cs="Times New Roman"/>
          <w:color w:val="auto"/>
          <w:sz w:val="32"/>
          <w:szCs w:val="32"/>
        </w:rPr>
        <w:t>按程序将扶持资金兑现相关企业。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四、监督检查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0"/>
          <w:sz w:val="32"/>
          <w:szCs w:val="32"/>
          <w:shd w:val="clear" w:color="auto" w:fill="FFFFFF"/>
        </w:rPr>
      </w:pPr>
      <w:r>
        <w:rPr>
          <w:rFonts w:hint="default" w:ascii="Times New Roman" w:hAnsi="Times New Roman" w:eastAsia="仿宋_GB2312" w:cs="Times New Roman"/>
          <w:color w:val="auto"/>
          <w:kern w:val="0"/>
          <w:sz w:val="32"/>
          <w:szCs w:val="32"/>
          <w:shd w:val="clear" w:color="auto" w:fill="FFFFFF"/>
        </w:rPr>
        <w:t>企业在申报过程中，如存在提供虚假资料、骗取资金等行为，一经查实将取消资格，涉嫌犯罪的，依法追究相关法律责任。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lang w:eastAsia="zh-CN"/>
        </w:rPr>
        <w:t>五</w:t>
      </w:r>
      <w:r>
        <w:rPr>
          <w:rFonts w:hint="default" w:ascii="Times New Roman" w:hAnsi="Times New Roman" w:eastAsia="黑体" w:cs="Times New Roman"/>
          <w:color w:val="auto"/>
          <w:sz w:val="32"/>
          <w:szCs w:val="32"/>
        </w:rPr>
        <w:t>、其他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0"/>
          <w:sz w:val="32"/>
          <w:szCs w:val="32"/>
          <w:shd w:val="clear" w:color="auto" w:fill="FFFFFF"/>
          <w:lang w:eastAsia="zh-CN"/>
        </w:rPr>
      </w:pPr>
      <w:r>
        <w:rPr>
          <w:rFonts w:hint="default" w:ascii="Times New Roman" w:hAnsi="Times New Roman" w:eastAsia="仿宋_GB2312" w:cs="Times New Roman"/>
          <w:color w:val="auto"/>
          <w:kern w:val="0"/>
          <w:sz w:val="32"/>
          <w:szCs w:val="32"/>
          <w:shd w:val="clear" w:color="auto" w:fill="FFFFFF"/>
        </w:rPr>
        <w:t>（一）本细则由</w:t>
      </w:r>
      <w:r>
        <w:rPr>
          <w:rFonts w:hint="default" w:ascii="Times New Roman" w:hAnsi="Times New Roman" w:eastAsia="仿宋_GB2312" w:cs="Times New Roman"/>
          <w:color w:val="auto"/>
          <w:sz w:val="32"/>
          <w:szCs w:val="32"/>
        </w:rPr>
        <w:t>观山湖区</w:t>
      </w:r>
      <w:r>
        <w:rPr>
          <w:rFonts w:hint="eastAsia" w:ascii="Times New Roman" w:hAnsi="Times New Roman" w:eastAsia="仿宋_GB2312" w:cs="Times New Roman"/>
          <w:color w:val="auto"/>
          <w:sz w:val="32"/>
          <w:szCs w:val="32"/>
          <w:lang w:eastAsia="zh-CN"/>
        </w:rPr>
        <w:t>商务投资促进局</w:t>
      </w:r>
      <w:r>
        <w:rPr>
          <w:rFonts w:hint="default" w:ascii="Times New Roman" w:hAnsi="Times New Roman" w:eastAsia="仿宋_GB2312" w:cs="Times New Roman"/>
          <w:color w:val="auto"/>
          <w:sz w:val="32"/>
          <w:szCs w:val="32"/>
        </w:rPr>
        <w:t>和</w:t>
      </w:r>
      <w:r>
        <w:rPr>
          <w:rFonts w:hint="eastAsia" w:ascii="Times New Roman" w:hAnsi="Times New Roman" w:eastAsia="仿宋_GB2312" w:cs="Times New Roman"/>
          <w:color w:val="auto"/>
          <w:sz w:val="32"/>
          <w:szCs w:val="32"/>
          <w:lang w:eastAsia="zh-CN"/>
        </w:rPr>
        <w:t>观山湖区文体广电旅游局</w:t>
      </w:r>
      <w:r>
        <w:rPr>
          <w:rFonts w:hint="default" w:ascii="Times New Roman" w:hAnsi="Times New Roman" w:eastAsia="仿宋_GB2312" w:cs="Times New Roman"/>
          <w:color w:val="auto"/>
          <w:kern w:val="0"/>
          <w:sz w:val="32"/>
          <w:szCs w:val="32"/>
          <w:shd w:val="clear" w:color="auto" w:fill="FFFFFF"/>
        </w:rPr>
        <w:t>负责解释（区</w:t>
      </w:r>
      <w:r>
        <w:rPr>
          <w:rFonts w:hint="eastAsia" w:ascii="Times New Roman" w:hAnsi="Times New Roman" w:eastAsia="仿宋_GB2312" w:cs="Times New Roman"/>
          <w:color w:val="auto"/>
          <w:kern w:val="0"/>
          <w:sz w:val="32"/>
          <w:szCs w:val="32"/>
          <w:shd w:val="clear" w:color="auto" w:fill="FFFFFF"/>
          <w:lang w:eastAsia="zh-CN"/>
        </w:rPr>
        <w:t>商务投资促进局</w:t>
      </w:r>
      <w:r>
        <w:rPr>
          <w:rFonts w:hint="default" w:ascii="Times New Roman" w:hAnsi="Times New Roman" w:eastAsia="仿宋_GB2312" w:cs="Times New Roman"/>
          <w:color w:val="auto"/>
          <w:kern w:val="0"/>
          <w:sz w:val="32"/>
          <w:szCs w:val="32"/>
          <w:shd w:val="clear" w:color="auto" w:fill="FFFFFF"/>
        </w:rPr>
        <w:t>负责批发</w:t>
      </w:r>
      <w:r>
        <w:rPr>
          <w:rFonts w:hint="default" w:ascii="Times New Roman" w:hAnsi="Times New Roman" w:eastAsia="仿宋_GB2312" w:cs="Times New Roman"/>
          <w:color w:val="auto"/>
          <w:kern w:val="0"/>
          <w:sz w:val="32"/>
          <w:szCs w:val="32"/>
          <w:shd w:val="clear" w:color="auto" w:fill="FFFFFF"/>
          <w:lang w:eastAsia="zh-CN"/>
        </w:rPr>
        <w:t>、</w:t>
      </w:r>
      <w:r>
        <w:rPr>
          <w:rFonts w:hint="default" w:ascii="Times New Roman" w:hAnsi="Times New Roman" w:eastAsia="仿宋_GB2312" w:cs="Times New Roman"/>
          <w:color w:val="auto"/>
          <w:kern w:val="0"/>
          <w:sz w:val="32"/>
          <w:szCs w:val="32"/>
          <w:shd w:val="clear" w:color="auto" w:fill="FFFFFF"/>
        </w:rPr>
        <w:t>零售</w:t>
      </w:r>
      <w:r>
        <w:rPr>
          <w:rFonts w:hint="default" w:ascii="Times New Roman" w:hAnsi="Times New Roman" w:eastAsia="仿宋_GB2312" w:cs="Times New Roman"/>
          <w:color w:val="auto"/>
          <w:kern w:val="0"/>
          <w:sz w:val="32"/>
          <w:szCs w:val="32"/>
          <w:shd w:val="clear" w:color="auto" w:fill="FFFFFF"/>
          <w:lang w:val="en-US" w:eastAsia="zh-CN"/>
        </w:rPr>
        <w:t>和</w:t>
      </w:r>
      <w:r>
        <w:rPr>
          <w:rFonts w:hint="default" w:ascii="Times New Roman" w:hAnsi="Times New Roman" w:eastAsia="仿宋_GB2312" w:cs="Times New Roman"/>
          <w:color w:val="auto"/>
          <w:kern w:val="0"/>
          <w:sz w:val="32"/>
          <w:szCs w:val="32"/>
          <w:shd w:val="clear" w:color="auto" w:fill="FFFFFF"/>
        </w:rPr>
        <w:t>餐饮</w:t>
      </w:r>
      <w:r>
        <w:rPr>
          <w:rFonts w:hint="default" w:ascii="Times New Roman" w:hAnsi="Times New Roman" w:eastAsia="仿宋_GB2312" w:cs="Times New Roman"/>
          <w:color w:val="auto"/>
          <w:kern w:val="0"/>
          <w:sz w:val="32"/>
          <w:szCs w:val="32"/>
          <w:shd w:val="clear" w:color="auto" w:fill="FFFFFF"/>
          <w:lang w:val="en-US" w:eastAsia="zh-CN"/>
        </w:rPr>
        <w:t>业</w:t>
      </w:r>
      <w:r>
        <w:rPr>
          <w:rFonts w:hint="default" w:ascii="Times New Roman" w:hAnsi="Times New Roman" w:eastAsia="仿宋_GB2312" w:cs="Times New Roman"/>
          <w:color w:val="auto"/>
          <w:kern w:val="0"/>
          <w:sz w:val="32"/>
          <w:szCs w:val="32"/>
          <w:shd w:val="clear" w:color="auto" w:fill="FFFFFF"/>
        </w:rPr>
        <w:t>企业</w:t>
      </w:r>
      <w:r>
        <w:rPr>
          <w:rFonts w:hint="default" w:ascii="Times New Roman" w:hAnsi="Times New Roman" w:eastAsia="仿宋_GB2312" w:cs="Times New Roman"/>
          <w:color w:val="auto"/>
          <w:kern w:val="0"/>
          <w:sz w:val="32"/>
          <w:szCs w:val="32"/>
          <w:shd w:val="clear" w:color="auto" w:fill="FFFFFF"/>
          <w:lang w:eastAsia="zh-CN"/>
        </w:rPr>
        <w:t>，</w:t>
      </w:r>
      <w:r>
        <w:rPr>
          <w:rFonts w:hint="default" w:ascii="Times New Roman" w:hAnsi="Times New Roman" w:eastAsia="仿宋_GB2312" w:cs="Times New Roman"/>
          <w:color w:val="auto"/>
          <w:kern w:val="0"/>
          <w:sz w:val="32"/>
          <w:szCs w:val="32"/>
          <w:shd w:val="clear" w:color="auto" w:fill="FFFFFF"/>
        </w:rPr>
        <w:t>区</w:t>
      </w:r>
      <w:r>
        <w:rPr>
          <w:rFonts w:hint="eastAsia" w:ascii="Times New Roman" w:hAnsi="Times New Roman" w:eastAsia="仿宋_GB2312" w:cs="Times New Roman"/>
          <w:color w:val="auto"/>
          <w:kern w:val="0"/>
          <w:sz w:val="32"/>
          <w:szCs w:val="32"/>
          <w:shd w:val="clear" w:color="auto" w:fill="FFFFFF"/>
          <w:lang w:eastAsia="zh-CN"/>
        </w:rPr>
        <w:t>文体广电旅游局</w:t>
      </w:r>
      <w:r>
        <w:rPr>
          <w:rFonts w:hint="default" w:ascii="Times New Roman" w:hAnsi="Times New Roman" w:eastAsia="仿宋_GB2312" w:cs="Times New Roman"/>
          <w:color w:val="auto"/>
          <w:kern w:val="0"/>
          <w:sz w:val="32"/>
          <w:szCs w:val="32"/>
          <w:shd w:val="clear" w:color="auto" w:fill="FFFFFF"/>
        </w:rPr>
        <w:t>负责住宿</w:t>
      </w:r>
      <w:r>
        <w:rPr>
          <w:rFonts w:hint="default" w:ascii="Times New Roman" w:hAnsi="Times New Roman" w:eastAsia="仿宋_GB2312" w:cs="Times New Roman"/>
          <w:color w:val="auto"/>
          <w:kern w:val="0"/>
          <w:sz w:val="32"/>
          <w:szCs w:val="32"/>
          <w:shd w:val="clear" w:color="auto" w:fill="FFFFFF"/>
          <w:lang w:val="en-US" w:eastAsia="zh-CN"/>
        </w:rPr>
        <w:t>业</w:t>
      </w:r>
      <w:r>
        <w:rPr>
          <w:rFonts w:hint="default" w:ascii="Times New Roman" w:hAnsi="Times New Roman" w:eastAsia="仿宋_GB2312" w:cs="Times New Roman"/>
          <w:color w:val="auto"/>
          <w:kern w:val="0"/>
          <w:sz w:val="32"/>
          <w:szCs w:val="32"/>
          <w:shd w:val="clear" w:color="auto" w:fill="FFFFFF"/>
        </w:rPr>
        <w:t>企业）</w:t>
      </w:r>
      <w:r>
        <w:rPr>
          <w:rFonts w:hint="default" w:ascii="Times New Roman" w:hAnsi="Times New Roman" w:eastAsia="仿宋_GB2312" w:cs="Times New Roman"/>
          <w:color w:val="auto"/>
          <w:kern w:val="0"/>
          <w:sz w:val="32"/>
          <w:szCs w:val="32"/>
          <w:shd w:val="clear" w:color="auto" w:fill="FFFFFF"/>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0"/>
          <w:sz w:val="32"/>
          <w:szCs w:val="32"/>
          <w:shd w:val="clear" w:color="auto" w:fill="FFFFFF"/>
        </w:rPr>
      </w:pPr>
      <w:r>
        <w:rPr>
          <w:rFonts w:hint="default" w:ascii="Times New Roman" w:hAnsi="Times New Roman" w:eastAsia="仿宋_GB2312" w:cs="Times New Roman"/>
          <w:color w:val="auto"/>
          <w:kern w:val="0"/>
          <w:sz w:val="32"/>
          <w:szCs w:val="32"/>
          <w:shd w:val="clear" w:color="auto" w:fill="FFFFFF"/>
        </w:rPr>
        <w:t>（二）</w:t>
      </w:r>
      <w:r>
        <w:rPr>
          <w:rFonts w:hint="eastAsia" w:ascii="Times New Roman" w:hAnsi="Times New Roman" w:eastAsia="仿宋_GB2312" w:cs="Times New Roman"/>
          <w:snapToGrid/>
          <w:color w:val="auto"/>
          <w:kern w:val="2"/>
          <w:sz w:val="32"/>
          <w:szCs w:val="32"/>
          <w:highlight w:val="none"/>
          <w:lang w:val="en-US" w:eastAsia="zh-CN" w:bidi="ar-SA"/>
        </w:rPr>
        <w:t>本方案自印发之日起执行，《观山湖区重点企业提质增效扶持方案（试行）》同期废止。</w:t>
      </w:r>
      <w:bookmarkStart w:id="2" w:name="_GoBack"/>
      <w:bookmarkEnd w:id="2"/>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color w:val="auto"/>
          <w:sz w:val="32"/>
          <w:szCs w:val="32"/>
        </w:rPr>
      </w:pPr>
    </w:p>
    <w:p>
      <w:pPr>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br w:type="page"/>
      </w:r>
    </w:p>
    <w:p>
      <w:pPr>
        <w:spacing w:line="540" w:lineRule="exact"/>
        <w:rPr>
          <w:rFonts w:hint="eastAsia" w:ascii="黑体" w:hAnsi="黑体" w:eastAsia="黑体" w:cs="黑体"/>
          <w:color w:val="auto"/>
          <w:sz w:val="32"/>
          <w:szCs w:val="32"/>
        </w:rPr>
      </w:pPr>
      <w:r>
        <w:rPr>
          <w:rFonts w:hint="eastAsia" w:ascii="黑体" w:hAnsi="黑体" w:eastAsia="黑体" w:cs="黑体"/>
          <w:color w:val="auto"/>
          <w:sz w:val="32"/>
          <w:szCs w:val="32"/>
        </w:rPr>
        <w:fldChar w:fldCharType="begin"/>
      </w:r>
      <w:r>
        <w:rPr>
          <w:rFonts w:hint="eastAsia" w:ascii="黑体" w:hAnsi="黑体" w:eastAsia="黑体" w:cs="黑体"/>
          <w:color w:val="auto"/>
          <w:sz w:val="32"/>
          <w:szCs w:val="32"/>
        </w:rPr>
        <w:instrText xml:space="preserve">ADDIN CNKISM.UserStyle</w:instrText>
      </w:r>
      <w:r>
        <w:rPr>
          <w:rFonts w:hint="eastAsia" w:ascii="黑体" w:hAnsi="黑体" w:eastAsia="黑体" w:cs="黑体"/>
          <w:color w:val="auto"/>
          <w:sz w:val="32"/>
          <w:szCs w:val="32"/>
        </w:rPr>
        <w:fldChar w:fldCharType="end"/>
      </w:r>
      <w:r>
        <w:rPr>
          <w:rFonts w:hint="eastAsia" w:ascii="黑体" w:hAnsi="黑体" w:eastAsia="黑体" w:cs="黑体"/>
          <w:color w:val="auto"/>
          <w:sz w:val="32"/>
          <w:szCs w:val="32"/>
        </w:rPr>
        <w:t>附件2-</w:t>
      </w:r>
      <w:r>
        <w:rPr>
          <w:rFonts w:hint="eastAsia" w:ascii="黑体" w:hAnsi="黑体" w:eastAsia="黑体" w:cs="黑体"/>
          <w:color w:val="auto"/>
          <w:sz w:val="32"/>
          <w:szCs w:val="32"/>
          <w:lang w:val="en-US" w:eastAsia="zh-CN"/>
        </w:rPr>
        <w:t>1</w:t>
      </w:r>
    </w:p>
    <w:tbl>
      <w:tblPr>
        <w:tblStyle w:val="12"/>
        <w:tblpPr w:leftFromText="180" w:rightFromText="180" w:vertAnchor="text" w:horzAnchor="page" w:tblpX="1241" w:tblpY="270"/>
        <w:tblOverlap w:val="never"/>
        <w:tblW w:w="10180" w:type="dxa"/>
        <w:tblInd w:w="0" w:type="dxa"/>
        <w:tblLayout w:type="autofit"/>
        <w:tblCellMar>
          <w:top w:w="0" w:type="dxa"/>
          <w:left w:w="108" w:type="dxa"/>
          <w:bottom w:w="0" w:type="dxa"/>
          <w:right w:w="108" w:type="dxa"/>
        </w:tblCellMar>
      </w:tblPr>
      <w:tblGrid>
        <w:gridCol w:w="1694"/>
        <w:gridCol w:w="1694"/>
        <w:gridCol w:w="1694"/>
        <w:gridCol w:w="1694"/>
        <w:gridCol w:w="1694"/>
        <w:gridCol w:w="1710"/>
      </w:tblGrid>
      <w:tr>
        <w:tblPrEx>
          <w:tblCellMar>
            <w:top w:w="0" w:type="dxa"/>
            <w:left w:w="108" w:type="dxa"/>
            <w:bottom w:w="0" w:type="dxa"/>
            <w:right w:w="108" w:type="dxa"/>
          </w:tblCellMar>
        </w:tblPrEx>
        <w:trPr>
          <w:trHeight w:val="1253" w:hRule="atLeast"/>
        </w:trPr>
        <w:tc>
          <w:tcPr>
            <w:tcW w:w="10180" w:type="dxa"/>
            <w:gridSpan w:val="6"/>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default" w:ascii="Times New Roman" w:hAnsi="Times New Roman" w:eastAsia="方正小标宋简体" w:cs="Times New Roman"/>
                <w:b w:val="0"/>
                <w:bCs w:val="0"/>
                <w:color w:val="auto"/>
                <w:kern w:val="36"/>
                <w:sz w:val="44"/>
                <w:szCs w:val="44"/>
              </w:rPr>
            </w:pPr>
            <w:bookmarkStart w:id="0" w:name="_Toc16337"/>
            <w:bookmarkStart w:id="1" w:name="_Toc7885"/>
            <w:r>
              <w:rPr>
                <w:rFonts w:hint="default" w:ascii="Times New Roman" w:hAnsi="Times New Roman" w:eastAsia="方正小标宋简体" w:cs="Times New Roman"/>
                <w:b w:val="0"/>
                <w:bCs w:val="0"/>
                <w:color w:val="auto"/>
                <w:kern w:val="36"/>
                <w:sz w:val="44"/>
                <w:szCs w:val="44"/>
              </w:rPr>
              <w:t>观山湖区批零住餐业重点企业提质增效扶持资金</w:t>
            </w:r>
          </w:p>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default" w:ascii="Times New Roman" w:hAnsi="Times New Roman" w:eastAsia="仿宋_GB2312" w:cs="Times New Roman"/>
                <w:color w:val="auto"/>
                <w:sz w:val="44"/>
                <w:szCs w:val="44"/>
              </w:rPr>
            </w:pPr>
            <w:r>
              <w:rPr>
                <w:rFonts w:hint="default" w:ascii="Times New Roman" w:hAnsi="Times New Roman" w:eastAsia="方正小标宋简体" w:cs="Times New Roman"/>
                <w:b w:val="0"/>
                <w:bCs w:val="0"/>
                <w:color w:val="auto"/>
                <w:kern w:val="36"/>
                <w:sz w:val="44"/>
                <w:szCs w:val="44"/>
              </w:rPr>
              <w:t>申报表</w:t>
            </w:r>
          </w:p>
        </w:tc>
      </w:tr>
      <w:tr>
        <w:tblPrEx>
          <w:tblCellMar>
            <w:top w:w="0" w:type="dxa"/>
            <w:left w:w="108" w:type="dxa"/>
            <w:bottom w:w="0" w:type="dxa"/>
            <w:right w:w="108" w:type="dxa"/>
          </w:tblCellMar>
        </w:tblPrEx>
        <w:trPr>
          <w:trHeight w:val="313" w:hRule="atLeast"/>
        </w:trPr>
        <w:tc>
          <w:tcPr>
            <w:tcW w:w="10180" w:type="dxa"/>
            <w:gridSpan w:val="6"/>
            <w:tcBorders>
              <w:top w:val="nil"/>
              <w:left w:val="nil"/>
              <w:bottom w:val="nil"/>
              <w:right w:val="nil"/>
            </w:tcBorders>
            <w:vAlign w:val="center"/>
          </w:tcPr>
          <w:p>
            <w:pPr>
              <w:widowControl/>
              <w:jc w:val="left"/>
              <w:textAlignment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kern w:val="0"/>
                <w:szCs w:val="21"/>
              </w:rPr>
              <w:t>填报日期：    年    月    日</w:t>
            </w:r>
          </w:p>
        </w:tc>
      </w:tr>
      <w:tr>
        <w:tblPrEx>
          <w:tblCellMar>
            <w:top w:w="0" w:type="dxa"/>
            <w:left w:w="108" w:type="dxa"/>
            <w:bottom w:w="0" w:type="dxa"/>
            <w:right w:w="108" w:type="dxa"/>
          </w:tblCellMar>
        </w:tblPrEx>
        <w:trPr>
          <w:trHeight w:val="949" w:hRule="atLeast"/>
        </w:trPr>
        <w:tc>
          <w:tcPr>
            <w:tcW w:w="169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kern w:val="0"/>
                <w:szCs w:val="21"/>
              </w:rPr>
              <w:t>申报扶持企业名称（盖章）</w:t>
            </w:r>
          </w:p>
        </w:tc>
        <w:tc>
          <w:tcPr>
            <w:tcW w:w="1694" w:type="dxa"/>
            <w:tcBorders>
              <w:top w:val="single" w:color="000000" w:sz="4" w:space="0"/>
              <w:left w:val="single" w:color="000000" w:sz="4" w:space="0"/>
              <w:bottom w:val="single" w:color="000000" w:sz="4" w:space="0"/>
              <w:right w:val="single" w:color="000000" w:sz="4" w:space="0"/>
            </w:tcBorders>
            <w:vAlign w:val="center"/>
          </w:tcPr>
          <w:p>
            <w:pPr>
              <w:rPr>
                <w:rFonts w:hint="default" w:ascii="Times New Roman" w:hAnsi="Times New Roman" w:eastAsia="仿宋" w:cs="Times New Roman"/>
                <w:color w:val="auto"/>
                <w:szCs w:val="21"/>
              </w:rPr>
            </w:pPr>
          </w:p>
        </w:tc>
        <w:tc>
          <w:tcPr>
            <w:tcW w:w="169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kern w:val="0"/>
                <w:szCs w:val="21"/>
              </w:rPr>
              <w:t>申报扶持企业法人（签字或盖章）</w:t>
            </w:r>
          </w:p>
        </w:tc>
        <w:tc>
          <w:tcPr>
            <w:tcW w:w="169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 w:cs="Times New Roman"/>
                <w:color w:val="auto"/>
                <w:szCs w:val="21"/>
              </w:rPr>
            </w:pPr>
          </w:p>
        </w:tc>
        <w:tc>
          <w:tcPr>
            <w:tcW w:w="169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kern w:val="0"/>
                <w:szCs w:val="21"/>
              </w:rPr>
              <w:t xml:space="preserve"> 申报扶持奖励企业类型</w:t>
            </w:r>
          </w:p>
        </w:tc>
        <w:tc>
          <w:tcPr>
            <w:tcW w:w="1710" w:type="dxa"/>
            <w:tcBorders>
              <w:top w:val="single" w:color="000000" w:sz="4" w:space="0"/>
              <w:left w:val="single" w:color="000000" w:sz="4" w:space="0"/>
              <w:bottom w:val="single" w:color="000000" w:sz="4" w:space="0"/>
              <w:right w:val="single" w:color="000000" w:sz="4" w:space="0"/>
            </w:tcBorders>
            <w:vAlign w:val="center"/>
          </w:tcPr>
          <w:p>
            <w:pP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批/零/住/餐</w:t>
            </w:r>
          </w:p>
        </w:tc>
      </w:tr>
      <w:tr>
        <w:tblPrEx>
          <w:tblCellMar>
            <w:top w:w="0" w:type="dxa"/>
            <w:left w:w="108" w:type="dxa"/>
            <w:bottom w:w="0" w:type="dxa"/>
            <w:right w:w="108" w:type="dxa"/>
          </w:tblCellMar>
        </w:tblPrEx>
        <w:trPr>
          <w:trHeight w:val="323" w:hRule="atLeast"/>
        </w:trPr>
        <w:tc>
          <w:tcPr>
            <w:tcW w:w="1694" w:type="dxa"/>
            <w:vMerge w:val="restart"/>
            <w:tcBorders>
              <w:top w:val="nil"/>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kern w:val="0"/>
                <w:szCs w:val="21"/>
              </w:rPr>
              <w:t>申报扶持奖励 类型</w:t>
            </w:r>
          </w:p>
        </w:tc>
        <w:tc>
          <w:tcPr>
            <w:tcW w:w="1694" w:type="dxa"/>
            <w:vMerge w:val="restart"/>
            <w:tcBorders>
              <w:top w:val="nil"/>
              <w:left w:val="single" w:color="000000" w:sz="4" w:space="0"/>
              <w:bottom w:val="single" w:color="000000" w:sz="4" w:space="0"/>
              <w:right w:val="nil"/>
            </w:tcBorders>
            <w:vAlign w:val="center"/>
          </w:tcPr>
          <w:p>
            <w:pPr>
              <w:widowControl/>
              <w:jc w:val="center"/>
              <w:textAlignment w:val="center"/>
              <w:rPr>
                <w:rFonts w:hint="default" w:ascii="Times New Roman" w:hAnsi="Times New Roman" w:eastAsia="仿宋" w:cs="Times New Roman"/>
                <w:color w:val="auto"/>
                <w:szCs w:val="21"/>
                <w:u w:val="single"/>
              </w:rPr>
            </w:pPr>
            <w:r>
              <w:rPr>
                <w:rFonts w:hint="default" w:ascii="Times New Roman" w:hAnsi="Times New Roman" w:eastAsia="仿宋" w:cs="Times New Roman"/>
                <w:color w:val="auto"/>
                <w:kern w:val="0"/>
                <w:szCs w:val="21"/>
              </w:rPr>
              <w:t xml:space="preserve">       </w:t>
            </w:r>
            <w:r>
              <w:rPr>
                <w:rFonts w:hint="default" w:ascii="Times New Roman" w:hAnsi="Times New Roman" w:eastAsia="仿宋" w:cs="Times New Roman"/>
                <w:color w:val="auto"/>
                <w:kern w:val="0"/>
                <w:szCs w:val="21"/>
                <w:u w:val="single"/>
              </w:rPr>
              <w:t xml:space="preserve">       一类/二类/三类</w:t>
            </w:r>
          </w:p>
        </w:tc>
        <w:tc>
          <w:tcPr>
            <w:tcW w:w="6792" w:type="dxa"/>
            <w:gridSpan w:val="4"/>
            <w:tcBorders>
              <w:top w:val="nil"/>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kern w:val="0"/>
                <w:szCs w:val="21"/>
              </w:rPr>
              <w:t>申报扶持资金</w:t>
            </w:r>
          </w:p>
        </w:tc>
      </w:tr>
      <w:tr>
        <w:tblPrEx>
          <w:tblCellMar>
            <w:top w:w="0" w:type="dxa"/>
            <w:left w:w="108" w:type="dxa"/>
            <w:bottom w:w="0" w:type="dxa"/>
            <w:right w:w="108" w:type="dxa"/>
          </w:tblCellMar>
        </w:tblPrEx>
        <w:trPr>
          <w:trHeight w:val="1263" w:hRule="atLeast"/>
        </w:trPr>
        <w:tc>
          <w:tcPr>
            <w:tcW w:w="1694" w:type="dxa"/>
            <w:vMerge w:val="continue"/>
            <w:tcBorders>
              <w:top w:val="nil"/>
              <w:left w:val="single" w:color="000000" w:sz="4" w:space="0"/>
              <w:bottom w:val="single" w:color="000000" w:sz="4" w:space="0"/>
              <w:right w:val="single" w:color="000000" w:sz="4" w:space="0"/>
            </w:tcBorders>
            <w:vAlign w:val="center"/>
          </w:tcPr>
          <w:p>
            <w:pPr>
              <w:jc w:val="center"/>
              <w:rPr>
                <w:rFonts w:hint="default" w:ascii="Times New Roman" w:hAnsi="Times New Roman" w:eastAsia="仿宋" w:cs="Times New Roman"/>
                <w:color w:val="auto"/>
                <w:szCs w:val="21"/>
              </w:rPr>
            </w:pPr>
          </w:p>
        </w:tc>
        <w:tc>
          <w:tcPr>
            <w:tcW w:w="1694" w:type="dxa"/>
            <w:vMerge w:val="continue"/>
            <w:tcBorders>
              <w:top w:val="nil"/>
              <w:left w:val="single" w:color="000000" w:sz="4" w:space="0"/>
              <w:bottom w:val="single" w:color="000000" w:sz="4" w:space="0"/>
              <w:right w:val="nil"/>
            </w:tcBorders>
            <w:vAlign w:val="center"/>
          </w:tcPr>
          <w:p>
            <w:pPr>
              <w:jc w:val="center"/>
              <w:rPr>
                <w:rFonts w:hint="default" w:ascii="Times New Roman" w:hAnsi="Times New Roman" w:eastAsia="仿宋" w:cs="Times New Roman"/>
                <w:color w:val="auto"/>
                <w:szCs w:val="21"/>
                <w:u w:val="single"/>
              </w:rPr>
            </w:pPr>
          </w:p>
        </w:tc>
        <w:tc>
          <w:tcPr>
            <w:tcW w:w="169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kern w:val="0"/>
                <w:szCs w:val="21"/>
              </w:rPr>
              <w:t>申报扶持资金合计（万元）</w:t>
            </w:r>
          </w:p>
        </w:tc>
        <w:tc>
          <w:tcPr>
            <w:tcW w:w="169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kern w:val="0"/>
                <w:szCs w:val="21"/>
              </w:rPr>
              <w:t>申报基准线达标扶持金额（万元）</w:t>
            </w:r>
          </w:p>
        </w:tc>
        <w:tc>
          <w:tcPr>
            <w:tcW w:w="1694" w:type="dxa"/>
            <w:tcBorders>
              <w:top w:val="single" w:color="000000" w:sz="4" w:space="0"/>
              <w:left w:val="single" w:color="000000" w:sz="4" w:space="0"/>
              <w:bottom w:val="single" w:color="000000" w:sz="4" w:space="0"/>
              <w:right w:val="single" w:color="auto" w:sz="4" w:space="0"/>
            </w:tcBorders>
            <w:vAlign w:val="center"/>
          </w:tcPr>
          <w:p>
            <w:pPr>
              <w:widowControl/>
              <w:jc w:val="center"/>
              <w:textAlignment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kern w:val="0"/>
                <w:szCs w:val="21"/>
              </w:rPr>
              <w:t>超出达标基准线标准（%）</w:t>
            </w:r>
          </w:p>
        </w:tc>
        <w:tc>
          <w:tcPr>
            <w:tcW w:w="1710" w:type="dxa"/>
            <w:tcBorders>
              <w:top w:val="single" w:color="000000" w:sz="4" w:space="0"/>
              <w:left w:val="single" w:color="auto"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kern w:val="0"/>
                <w:szCs w:val="21"/>
              </w:rPr>
              <w:t>申报贡献度扶持资金（万元）</w:t>
            </w:r>
          </w:p>
        </w:tc>
      </w:tr>
      <w:tr>
        <w:tblPrEx>
          <w:tblCellMar>
            <w:top w:w="0" w:type="dxa"/>
            <w:left w:w="108" w:type="dxa"/>
            <w:bottom w:w="0" w:type="dxa"/>
            <w:right w:w="108" w:type="dxa"/>
          </w:tblCellMar>
        </w:tblPrEx>
        <w:trPr>
          <w:trHeight w:val="323" w:hRule="atLeast"/>
        </w:trPr>
        <w:tc>
          <w:tcPr>
            <w:tcW w:w="1694" w:type="dxa"/>
            <w:vMerge w:val="continue"/>
            <w:tcBorders>
              <w:top w:val="nil"/>
              <w:left w:val="single" w:color="000000" w:sz="4" w:space="0"/>
              <w:bottom w:val="single" w:color="000000" w:sz="4" w:space="0"/>
              <w:right w:val="single" w:color="000000" w:sz="4" w:space="0"/>
            </w:tcBorders>
            <w:vAlign w:val="center"/>
          </w:tcPr>
          <w:p>
            <w:pPr>
              <w:jc w:val="center"/>
              <w:rPr>
                <w:rFonts w:hint="default" w:ascii="Times New Roman" w:hAnsi="Times New Roman" w:eastAsia="仿宋" w:cs="Times New Roman"/>
                <w:color w:val="auto"/>
                <w:szCs w:val="21"/>
              </w:rPr>
            </w:pPr>
          </w:p>
        </w:tc>
        <w:tc>
          <w:tcPr>
            <w:tcW w:w="1694" w:type="dxa"/>
            <w:vMerge w:val="continue"/>
            <w:tcBorders>
              <w:top w:val="nil"/>
              <w:left w:val="single" w:color="000000" w:sz="4" w:space="0"/>
              <w:bottom w:val="single" w:color="000000" w:sz="4" w:space="0"/>
              <w:right w:val="nil"/>
            </w:tcBorders>
            <w:vAlign w:val="center"/>
          </w:tcPr>
          <w:p>
            <w:pPr>
              <w:jc w:val="center"/>
              <w:rPr>
                <w:rFonts w:hint="default" w:ascii="Times New Roman" w:hAnsi="Times New Roman" w:eastAsia="仿宋" w:cs="Times New Roman"/>
                <w:color w:val="auto"/>
                <w:szCs w:val="21"/>
                <w:u w:val="single"/>
              </w:rPr>
            </w:pPr>
          </w:p>
        </w:tc>
        <w:tc>
          <w:tcPr>
            <w:tcW w:w="169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 w:cs="Times New Roman"/>
                <w:color w:val="auto"/>
                <w:szCs w:val="21"/>
              </w:rPr>
            </w:pPr>
          </w:p>
        </w:tc>
        <w:tc>
          <w:tcPr>
            <w:tcW w:w="1694" w:type="dxa"/>
            <w:tcBorders>
              <w:top w:val="single" w:color="000000" w:sz="4" w:space="0"/>
              <w:left w:val="single" w:color="000000" w:sz="4" w:space="0"/>
              <w:bottom w:val="single" w:color="000000" w:sz="4" w:space="0"/>
              <w:right w:val="single" w:color="000000" w:sz="4" w:space="0"/>
            </w:tcBorders>
            <w:vAlign w:val="center"/>
          </w:tcPr>
          <w:p>
            <w:pPr>
              <w:rPr>
                <w:rFonts w:hint="default" w:ascii="Times New Roman" w:hAnsi="Times New Roman" w:eastAsia="仿宋" w:cs="Times New Roman"/>
                <w:color w:val="auto"/>
                <w:szCs w:val="21"/>
              </w:rPr>
            </w:pPr>
          </w:p>
        </w:tc>
        <w:tc>
          <w:tcPr>
            <w:tcW w:w="3404" w:type="dxa"/>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仿宋" w:cs="Times New Roman"/>
                <w:color w:val="auto"/>
                <w:szCs w:val="21"/>
              </w:rPr>
            </w:pPr>
          </w:p>
        </w:tc>
      </w:tr>
      <w:tr>
        <w:tblPrEx>
          <w:tblCellMar>
            <w:top w:w="0" w:type="dxa"/>
            <w:left w:w="108" w:type="dxa"/>
            <w:bottom w:w="0" w:type="dxa"/>
            <w:right w:w="108" w:type="dxa"/>
          </w:tblCellMar>
        </w:tblPrEx>
        <w:trPr>
          <w:trHeight w:val="323" w:hRule="atLeast"/>
        </w:trPr>
        <w:tc>
          <w:tcPr>
            <w:tcW w:w="169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kern w:val="0"/>
                <w:szCs w:val="21"/>
              </w:rPr>
              <w:t>所属行业</w:t>
            </w:r>
          </w:p>
        </w:tc>
        <w:tc>
          <w:tcPr>
            <w:tcW w:w="169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_GB2312" w:cs="Times New Roman"/>
                <w:color w:val="auto"/>
                <w:szCs w:val="21"/>
              </w:rPr>
            </w:pPr>
          </w:p>
        </w:tc>
        <w:tc>
          <w:tcPr>
            <w:tcW w:w="169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kern w:val="0"/>
                <w:szCs w:val="21"/>
              </w:rPr>
              <w:t>企业成立时间</w:t>
            </w:r>
          </w:p>
        </w:tc>
        <w:tc>
          <w:tcPr>
            <w:tcW w:w="169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_GB2312" w:cs="Times New Roman"/>
                <w:color w:val="auto"/>
                <w:szCs w:val="21"/>
              </w:rPr>
            </w:pPr>
          </w:p>
        </w:tc>
        <w:tc>
          <w:tcPr>
            <w:tcW w:w="169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kern w:val="0"/>
                <w:szCs w:val="21"/>
              </w:rPr>
              <w:t>纳税注册地</w:t>
            </w:r>
          </w:p>
        </w:tc>
        <w:tc>
          <w:tcPr>
            <w:tcW w:w="171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_GB2312" w:cs="Times New Roman"/>
                <w:color w:val="auto"/>
                <w:szCs w:val="21"/>
              </w:rPr>
            </w:pPr>
          </w:p>
        </w:tc>
      </w:tr>
      <w:tr>
        <w:tblPrEx>
          <w:tblCellMar>
            <w:top w:w="0" w:type="dxa"/>
            <w:left w:w="108" w:type="dxa"/>
            <w:bottom w:w="0" w:type="dxa"/>
            <w:right w:w="108" w:type="dxa"/>
          </w:tblCellMar>
        </w:tblPrEx>
        <w:trPr>
          <w:trHeight w:val="636" w:hRule="atLeast"/>
        </w:trPr>
        <w:tc>
          <w:tcPr>
            <w:tcW w:w="169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kern w:val="0"/>
                <w:szCs w:val="21"/>
              </w:rPr>
              <w:t>营业执照</w:t>
            </w:r>
            <w:r>
              <w:rPr>
                <w:rFonts w:hint="default" w:ascii="Times New Roman" w:hAnsi="Times New Roman" w:cs="Times New Roman"/>
                <w:color w:val="auto"/>
                <w:kern w:val="0"/>
                <w:szCs w:val="21"/>
              </w:rPr>
              <w:t xml:space="preserve">            </w:t>
            </w:r>
            <w:r>
              <w:rPr>
                <w:rFonts w:hint="default" w:ascii="Times New Roman" w:hAnsi="Times New Roman" w:eastAsia="仿宋_GB2312" w:cs="Times New Roman"/>
                <w:color w:val="auto"/>
                <w:kern w:val="0"/>
                <w:szCs w:val="21"/>
              </w:rPr>
              <w:t>注册地址</w:t>
            </w:r>
          </w:p>
        </w:tc>
        <w:tc>
          <w:tcPr>
            <w:tcW w:w="338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_GB2312" w:cs="Times New Roman"/>
                <w:color w:val="auto"/>
                <w:szCs w:val="21"/>
              </w:rPr>
            </w:pPr>
          </w:p>
        </w:tc>
        <w:tc>
          <w:tcPr>
            <w:tcW w:w="169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kern w:val="0"/>
                <w:szCs w:val="21"/>
              </w:rPr>
              <w:t>实际经营地址</w:t>
            </w:r>
          </w:p>
        </w:tc>
        <w:tc>
          <w:tcPr>
            <w:tcW w:w="340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_GB2312" w:cs="Times New Roman"/>
                <w:color w:val="auto"/>
                <w:szCs w:val="21"/>
              </w:rPr>
            </w:pPr>
          </w:p>
        </w:tc>
      </w:tr>
      <w:tr>
        <w:tblPrEx>
          <w:tblCellMar>
            <w:top w:w="0" w:type="dxa"/>
            <w:left w:w="108" w:type="dxa"/>
            <w:bottom w:w="0" w:type="dxa"/>
            <w:right w:w="108" w:type="dxa"/>
          </w:tblCellMar>
        </w:tblPrEx>
        <w:trPr>
          <w:trHeight w:val="323" w:hRule="atLeast"/>
        </w:trPr>
        <w:tc>
          <w:tcPr>
            <w:tcW w:w="169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kern w:val="0"/>
                <w:szCs w:val="21"/>
              </w:rPr>
              <w:t>社会信用代码</w:t>
            </w:r>
          </w:p>
        </w:tc>
        <w:tc>
          <w:tcPr>
            <w:tcW w:w="338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_GB2312" w:cs="Times New Roman"/>
                <w:color w:val="auto"/>
                <w:szCs w:val="21"/>
              </w:rPr>
            </w:pPr>
          </w:p>
        </w:tc>
        <w:tc>
          <w:tcPr>
            <w:tcW w:w="169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kern w:val="0"/>
                <w:szCs w:val="21"/>
              </w:rPr>
              <w:t>员工人数</w:t>
            </w:r>
          </w:p>
        </w:tc>
        <w:tc>
          <w:tcPr>
            <w:tcW w:w="340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_GB2312" w:cs="Times New Roman"/>
                <w:color w:val="auto"/>
                <w:szCs w:val="21"/>
              </w:rPr>
            </w:pPr>
          </w:p>
        </w:tc>
      </w:tr>
      <w:tr>
        <w:tblPrEx>
          <w:tblCellMar>
            <w:top w:w="0" w:type="dxa"/>
            <w:left w:w="108" w:type="dxa"/>
            <w:bottom w:w="0" w:type="dxa"/>
            <w:right w:w="108" w:type="dxa"/>
          </w:tblCellMar>
        </w:tblPrEx>
        <w:trPr>
          <w:trHeight w:val="323" w:hRule="atLeast"/>
        </w:trPr>
        <w:tc>
          <w:tcPr>
            <w:tcW w:w="169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kern w:val="0"/>
                <w:szCs w:val="21"/>
              </w:rPr>
              <w:t>企业开户银行</w:t>
            </w:r>
          </w:p>
        </w:tc>
        <w:tc>
          <w:tcPr>
            <w:tcW w:w="338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_GB2312" w:cs="Times New Roman"/>
                <w:color w:val="auto"/>
                <w:szCs w:val="21"/>
              </w:rPr>
            </w:pPr>
          </w:p>
        </w:tc>
        <w:tc>
          <w:tcPr>
            <w:tcW w:w="169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kern w:val="0"/>
                <w:szCs w:val="21"/>
              </w:rPr>
              <w:t>企业银行账号</w:t>
            </w:r>
          </w:p>
        </w:tc>
        <w:tc>
          <w:tcPr>
            <w:tcW w:w="340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_GB2312" w:cs="Times New Roman"/>
                <w:color w:val="auto"/>
                <w:szCs w:val="21"/>
              </w:rPr>
            </w:pPr>
          </w:p>
        </w:tc>
      </w:tr>
      <w:tr>
        <w:tblPrEx>
          <w:tblCellMar>
            <w:top w:w="0" w:type="dxa"/>
            <w:left w:w="108" w:type="dxa"/>
            <w:bottom w:w="0" w:type="dxa"/>
            <w:right w:w="108" w:type="dxa"/>
          </w:tblCellMar>
        </w:tblPrEx>
        <w:trPr>
          <w:trHeight w:val="323" w:hRule="atLeast"/>
        </w:trPr>
        <w:tc>
          <w:tcPr>
            <w:tcW w:w="169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仿宋_GB2312" w:cs="Times New Roman"/>
                <w:color w:val="auto"/>
                <w:kern w:val="0"/>
                <w:szCs w:val="21"/>
                <w:lang w:val="en-US" w:eastAsia="zh-CN"/>
              </w:rPr>
            </w:pPr>
            <w:r>
              <w:rPr>
                <w:rFonts w:hint="eastAsia" w:ascii="Times New Roman" w:hAnsi="Times New Roman" w:eastAsia="仿宋_GB2312" w:cs="Times New Roman"/>
                <w:color w:val="auto"/>
                <w:kern w:val="0"/>
                <w:szCs w:val="21"/>
                <w:lang w:val="en-US" w:eastAsia="zh-CN"/>
              </w:rPr>
              <w:t>企业法人</w:t>
            </w:r>
          </w:p>
        </w:tc>
        <w:tc>
          <w:tcPr>
            <w:tcW w:w="338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仿宋_GB2312" w:cs="Times New Roman"/>
                <w:color w:val="auto"/>
                <w:kern w:val="0"/>
                <w:szCs w:val="21"/>
                <w:lang w:val="en-US" w:eastAsia="zh-CN"/>
              </w:rPr>
            </w:pPr>
          </w:p>
        </w:tc>
        <w:tc>
          <w:tcPr>
            <w:tcW w:w="169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lang w:val="en-US" w:eastAsia="zh-CN"/>
              </w:rPr>
              <w:t>联系电话</w:t>
            </w:r>
          </w:p>
        </w:tc>
        <w:tc>
          <w:tcPr>
            <w:tcW w:w="340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_GB2312" w:cs="Times New Roman"/>
                <w:i w:val="0"/>
                <w:iCs w:val="0"/>
                <w:color w:val="auto"/>
                <w:kern w:val="2"/>
                <w:sz w:val="21"/>
                <w:szCs w:val="21"/>
                <w:u w:val="none"/>
                <w:lang w:val="en-US" w:eastAsia="zh-CN" w:bidi="ar-SA"/>
              </w:rPr>
            </w:pPr>
          </w:p>
        </w:tc>
      </w:tr>
      <w:tr>
        <w:tblPrEx>
          <w:tblCellMar>
            <w:top w:w="0" w:type="dxa"/>
            <w:left w:w="108" w:type="dxa"/>
            <w:bottom w:w="0" w:type="dxa"/>
            <w:right w:w="108" w:type="dxa"/>
          </w:tblCellMar>
        </w:tblPrEx>
        <w:trPr>
          <w:trHeight w:val="323" w:hRule="atLeast"/>
        </w:trPr>
        <w:tc>
          <w:tcPr>
            <w:tcW w:w="169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kern w:val="0"/>
                <w:szCs w:val="21"/>
              </w:rPr>
              <w:t>企业联系人</w:t>
            </w:r>
          </w:p>
        </w:tc>
        <w:tc>
          <w:tcPr>
            <w:tcW w:w="338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_GB2312" w:cs="Times New Roman"/>
                <w:color w:val="auto"/>
                <w:szCs w:val="21"/>
              </w:rPr>
            </w:pPr>
          </w:p>
        </w:tc>
        <w:tc>
          <w:tcPr>
            <w:tcW w:w="169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kern w:val="0"/>
                <w:szCs w:val="21"/>
              </w:rPr>
              <w:t xml:space="preserve">联系电话 </w:t>
            </w:r>
            <w:r>
              <w:rPr>
                <w:rStyle w:val="21"/>
                <w:rFonts w:hint="default" w:ascii="Times New Roman" w:hAnsi="Times New Roman" w:cs="Times New Roman"/>
                <w:color w:val="auto"/>
              </w:rPr>
              <w:t xml:space="preserve">     </w:t>
            </w:r>
          </w:p>
        </w:tc>
        <w:tc>
          <w:tcPr>
            <w:tcW w:w="340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_GB2312" w:cs="Times New Roman"/>
                <w:color w:val="auto"/>
                <w:szCs w:val="21"/>
              </w:rPr>
            </w:pPr>
          </w:p>
        </w:tc>
      </w:tr>
      <w:tr>
        <w:tblPrEx>
          <w:tblCellMar>
            <w:top w:w="0" w:type="dxa"/>
            <w:left w:w="108" w:type="dxa"/>
            <w:bottom w:w="0" w:type="dxa"/>
            <w:right w:w="108" w:type="dxa"/>
          </w:tblCellMar>
        </w:tblPrEx>
        <w:trPr>
          <w:trHeight w:val="323" w:hRule="atLeast"/>
        </w:trPr>
        <w:tc>
          <w:tcPr>
            <w:tcW w:w="10180" w:type="dxa"/>
            <w:gridSpan w:val="6"/>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kern w:val="0"/>
                <w:szCs w:val="21"/>
              </w:rPr>
              <w:t>申报企业基本情况</w:t>
            </w:r>
          </w:p>
        </w:tc>
      </w:tr>
      <w:tr>
        <w:tblPrEx>
          <w:tblCellMar>
            <w:top w:w="0" w:type="dxa"/>
            <w:left w:w="108" w:type="dxa"/>
            <w:bottom w:w="0" w:type="dxa"/>
            <w:right w:w="108" w:type="dxa"/>
          </w:tblCellMar>
        </w:tblPrEx>
        <w:trPr>
          <w:trHeight w:val="949" w:hRule="atLeast"/>
        </w:trPr>
        <w:tc>
          <w:tcPr>
            <w:tcW w:w="169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kern w:val="0"/>
                <w:szCs w:val="21"/>
              </w:rPr>
              <w:t>1-12月上年同期累计营业收入（万元）</w:t>
            </w:r>
          </w:p>
        </w:tc>
        <w:tc>
          <w:tcPr>
            <w:tcW w:w="169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kern w:val="0"/>
                <w:szCs w:val="21"/>
              </w:rPr>
              <w:t>1-12月本年累计营业收入</w:t>
            </w:r>
            <w:r>
              <w:rPr>
                <w:rFonts w:hint="default" w:ascii="Times New Roman" w:hAnsi="Times New Roman" w:cs="Times New Roman"/>
                <w:color w:val="auto"/>
                <w:kern w:val="0"/>
                <w:szCs w:val="21"/>
              </w:rPr>
              <w:t xml:space="preserve">      </w:t>
            </w:r>
            <w:r>
              <w:rPr>
                <w:rFonts w:hint="default" w:ascii="Times New Roman" w:hAnsi="Times New Roman" w:eastAsia="仿宋_GB2312" w:cs="Times New Roman"/>
                <w:color w:val="auto"/>
                <w:kern w:val="0"/>
                <w:szCs w:val="21"/>
              </w:rPr>
              <w:t>（万元）</w:t>
            </w:r>
          </w:p>
        </w:tc>
        <w:tc>
          <w:tcPr>
            <w:tcW w:w="169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kern w:val="0"/>
                <w:szCs w:val="21"/>
              </w:rPr>
              <w:t>较上年1-12月同期累计营业</w:t>
            </w:r>
            <w:r>
              <w:rPr>
                <w:rFonts w:hint="default" w:ascii="Times New Roman" w:hAnsi="Times New Roman" w:cs="Times New Roman"/>
                <w:color w:val="auto"/>
                <w:kern w:val="0"/>
                <w:szCs w:val="21"/>
              </w:rPr>
              <w:t xml:space="preserve"> </w:t>
            </w:r>
            <w:r>
              <w:rPr>
                <w:rFonts w:hint="default" w:ascii="Times New Roman" w:hAnsi="Times New Roman" w:eastAsia="仿宋_GB2312" w:cs="Times New Roman"/>
                <w:color w:val="auto"/>
                <w:kern w:val="0"/>
                <w:szCs w:val="21"/>
              </w:rPr>
              <w:t>收入增速（%）</w:t>
            </w:r>
          </w:p>
        </w:tc>
        <w:tc>
          <w:tcPr>
            <w:tcW w:w="169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kern w:val="0"/>
                <w:szCs w:val="21"/>
              </w:rPr>
              <w:t>1-1</w:t>
            </w:r>
            <w:r>
              <w:rPr>
                <w:rFonts w:hint="default" w:ascii="Times New Roman" w:hAnsi="Times New Roman" w:cs="Times New Roman"/>
                <w:color w:val="auto"/>
                <w:kern w:val="0"/>
                <w:szCs w:val="21"/>
              </w:rPr>
              <w:t>2</w:t>
            </w:r>
            <w:r>
              <w:rPr>
                <w:rFonts w:hint="default" w:ascii="Times New Roman" w:hAnsi="Times New Roman" w:eastAsia="仿宋_GB2312" w:cs="Times New Roman"/>
                <w:color w:val="auto"/>
                <w:kern w:val="0"/>
                <w:szCs w:val="21"/>
              </w:rPr>
              <w:t>月企业所得税实缴税金（万元）</w:t>
            </w:r>
          </w:p>
        </w:tc>
        <w:tc>
          <w:tcPr>
            <w:tcW w:w="169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kern w:val="0"/>
                <w:szCs w:val="21"/>
              </w:rPr>
              <w:t>1-1</w:t>
            </w:r>
            <w:r>
              <w:rPr>
                <w:rFonts w:hint="default" w:ascii="Times New Roman" w:hAnsi="Times New Roman" w:cs="Times New Roman"/>
                <w:color w:val="auto"/>
                <w:kern w:val="0"/>
                <w:szCs w:val="21"/>
              </w:rPr>
              <w:t>2</w:t>
            </w:r>
            <w:r>
              <w:rPr>
                <w:rFonts w:hint="default" w:ascii="Times New Roman" w:hAnsi="Times New Roman" w:eastAsia="仿宋_GB2312" w:cs="Times New Roman"/>
                <w:color w:val="auto"/>
                <w:kern w:val="0"/>
                <w:szCs w:val="21"/>
              </w:rPr>
              <w:t>月企业增值税实缴税金（万元）</w:t>
            </w:r>
          </w:p>
        </w:tc>
        <w:tc>
          <w:tcPr>
            <w:tcW w:w="17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仿宋_GB2312" w:cs="Times New Roman"/>
                <w:color w:val="auto"/>
                <w:szCs w:val="21"/>
              </w:rPr>
            </w:pPr>
            <w:r>
              <w:rPr>
                <w:rFonts w:hint="default" w:ascii="Times New Roman" w:hAnsi="Times New Roman" w:cs="Times New Roman"/>
                <w:color w:val="auto"/>
                <w:szCs w:val="21"/>
              </w:rPr>
              <w:t>备注</w:t>
            </w:r>
          </w:p>
        </w:tc>
      </w:tr>
      <w:tr>
        <w:tblPrEx>
          <w:tblCellMar>
            <w:top w:w="0" w:type="dxa"/>
            <w:left w:w="108" w:type="dxa"/>
            <w:bottom w:w="0" w:type="dxa"/>
            <w:right w:w="108" w:type="dxa"/>
          </w:tblCellMar>
        </w:tblPrEx>
        <w:trPr>
          <w:trHeight w:val="323" w:hRule="atLeast"/>
        </w:trPr>
        <w:tc>
          <w:tcPr>
            <w:tcW w:w="169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_GB2312" w:cs="Times New Roman"/>
                <w:color w:val="auto"/>
                <w:szCs w:val="21"/>
              </w:rPr>
            </w:pPr>
          </w:p>
        </w:tc>
        <w:tc>
          <w:tcPr>
            <w:tcW w:w="169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_GB2312" w:cs="Times New Roman"/>
                <w:color w:val="auto"/>
                <w:szCs w:val="21"/>
              </w:rPr>
            </w:pPr>
          </w:p>
        </w:tc>
        <w:tc>
          <w:tcPr>
            <w:tcW w:w="169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_GB2312" w:cs="Times New Roman"/>
                <w:color w:val="auto"/>
                <w:szCs w:val="21"/>
              </w:rPr>
            </w:pPr>
          </w:p>
        </w:tc>
        <w:tc>
          <w:tcPr>
            <w:tcW w:w="169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_GB2312" w:cs="Times New Roman"/>
                <w:color w:val="auto"/>
                <w:szCs w:val="21"/>
              </w:rPr>
            </w:pPr>
          </w:p>
        </w:tc>
        <w:tc>
          <w:tcPr>
            <w:tcW w:w="1694" w:type="dxa"/>
            <w:tcBorders>
              <w:top w:val="single" w:color="000000" w:sz="4" w:space="0"/>
              <w:left w:val="single" w:color="000000" w:sz="4" w:space="0"/>
              <w:bottom w:val="single" w:color="000000" w:sz="4" w:space="0"/>
              <w:right w:val="single" w:color="000000" w:sz="4" w:space="0"/>
            </w:tcBorders>
            <w:vAlign w:val="center"/>
          </w:tcPr>
          <w:p>
            <w:pPr>
              <w:rPr>
                <w:rFonts w:hint="default" w:ascii="Times New Roman" w:hAnsi="Times New Roman" w:eastAsia="仿宋_GB2312" w:cs="Times New Roman"/>
                <w:color w:val="auto"/>
                <w:szCs w:val="21"/>
              </w:rPr>
            </w:pPr>
          </w:p>
        </w:tc>
        <w:tc>
          <w:tcPr>
            <w:tcW w:w="1710" w:type="dxa"/>
            <w:tcBorders>
              <w:top w:val="single" w:color="000000" w:sz="4" w:space="0"/>
              <w:left w:val="single" w:color="000000" w:sz="4" w:space="0"/>
              <w:bottom w:val="single" w:color="000000" w:sz="4" w:space="0"/>
              <w:right w:val="single" w:color="000000" w:sz="4" w:space="0"/>
            </w:tcBorders>
            <w:vAlign w:val="center"/>
          </w:tcPr>
          <w:p>
            <w:pPr>
              <w:rPr>
                <w:rFonts w:hint="default" w:ascii="Times New Roman" w:hAnsi="Times New Roman" w:eastAsia="仿宋_GB2312" w:cs="Times New Roman"/>
                <w:color w:val="auto"/>
                <w:szCs w:val="21"/>
              </w:rPr>
            </w:pPr>
          </w:p>
        </w:tc>
      </w:tr>
      <w:tr>
        <w:tblPrEx>
          <w:tblCellMar>
            <w:top w:w="0" w:type="dxa"/>
            <w:left w:w="108" w:type="dxa"/>
            <w:bottom w:w="0" w:type="dxa"/>
            <w:right w:w="108" w:type="dxa"/>
          </w:tblCellMar>
        </w:tblPrEx>
        <w:trPr>
          <w:trHeight w:val="323" w:hRule="atLeast"/>
        </w:trPr>
        <w:tc>
          <w:tcPr>
            <w:tcW w:w="338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kern w:val="0"/>
                <w:szCs w:val="21"/>
              </w:rPr>
              <w:t>镇（街道）审核情况</w:t>
            </w:r>
          </w:p>
        </w:tc>
        <w:tc>
          <w:tcPr>
            <w:tcW w:w="338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kern w:val="0"/>
                <w:szCs w:val="21"/>
              </w:rPr>
              <w:t>区商务部门审核情况（批零餐）</w:t>
            </w:r>
          </w:p>
        </w:tc>
        <w:tc>
          <w:tcPr>
            <w:tcW w:w="340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kern w:val="0"/>
                <w:szCs w:val="21"/>
              </w:rPr>
              <w:t>区文广部门审核情况（住宿）</w:t>
            </w:r>
          </w:p>
        </w:tc>
      </w:tr>
      <w:tr>
        <w:tblPrEx>
          <w:tblCellMar>
            <w:top w:w="0" w:type="dxa"/>
            <w:left w:w="108" w:type="dxa"/>
            <w:bottom w:w="0" w:type="dxa"/>
            <w:right w:w="108" w:type="dxa"/>
          </w:tblCellMar>
        </w:tblPrEx>
        <w:trPr>
          <w:trHeight w:val="323" w:hRule="atLeast"/>
        </w:trPr>
        <w:tc>
          <w:tcPr>
            <w:tcW w:w="3388"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default" w:ascii="Times New Roman" w:hAnsi="Times New Roman" w:eastAsia="仿宋_GB2312" w:cs="Times New Roman"/>
                <w:color w:val="auto"/>
                <w:kern w:val="0"/>
                <w:szCs w:val="21"/>
                <w:lang w:eastAsia="zh-CN"/>
              </w:rPr>
            </w:pPr>
          </w:p>
          <w:p>
            <w:pPr>
              <w:pStyle w:val="2"/>
              <w:rPr>
                <w:rFonts w:hint="default" w:ascii="Times New Roman" w:hAnsi="Times New Roman" w:cs="Times New Roman"/>
                <w:color w:val="auto"/>
                <w:lang w:eastAsia="zh-CN"/>
              </w:rPr>
            </w:pPr>
          </w:p>
          <w:p>
            <w:pPr>
              <w:pStyle w:val="2"/>
              <w:rPr>
                <w:rFonts w:hint="default" w:ascii="Times New Roman" w:hAnsi="Times New Roman" w:cs="Times New Roman"/>
                <w:color w:val="auto"/>
                <w:lang w:eastAsia="zh-CN"/>
              </w:rPr>
            </w:pPr>
          </w:p>
          <w:p>
            <w:pPr>
              <w:pStyle w:val="2"/>
              <w:rPr>
                <w:rFonts w:hint="default" w:ascii="Times New Roman" w:hAnsi="Times New Roman" w:cs="Times New Roman"/>
                <w:color w:val="auto"/>
                <w:lang w:eastAsia="zh-CN"/>
              </w:rPr>
            </w:pPr>
          </w:p>
          <w:p>
            <w:pPr>
              <w:widowControl/>
              <w:jc w:val="right"/>
              <w:textAlignment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kern w:val="0"/>
                <w:szCs w:val="21"/>
              </w:rPr>
              <w:t>年     月     日</w:t>
            </w:r>
          </w:p>
        </w:tc>
        <w:tc>
          <w:tcPr>
            <w:tcW w:w="3388"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default" w:ascii="Times New Roman" w:hAnsi="Times New Roman" w:eastAsia="仿宋_GB2312" w:cs="Times New Roman"/>
                <w:color w:val="auto"/>
                <w:kern w:val="0"/>
                <w:szCs w:val="21"/>
                <w:lang w:eastAsia="zh-CN"/>
              </w:rPr>
            </w:pPr>
          </w:p>
          <w:p>
            <w:pPr>
              <w:pStyle w:val="2"/>
              <w:rPr>
                <w:rFonts w:hint="default" w:ascii="Times New Roman" w:hAnsi="Times New Roman" w:cs="Times New Roman"/>
                <w:color w:val="auto"/>
                <w:lang w:eastAsia="zh-CN"/>
              </w:rPr>
            </w:pPr>
          </w:p>
          <w:p>
            <w:pPr>
              <w:pStyle w:val="2"/>
              <w:rPr>
                <w:rFonts w:hint="default" w:ascii="Times New Roman" w:hAnsi="Times New Roman" w:cs="Times New Roman"/>
                <w:color w:val="auto"/>
                <w:lang w:eastAsia="zh-CN"/>
              </w:rPr>
            </w:pPr>
          </w:p>
          <w:p>
            <w:pPr>
              <w:pStyle w:val="2"/>
              <w:rPr>
                <w:rFonts w:hint="default" w:ascii="Times New Roman" w:hAnsi="Times New Roman" w:cs="Times New Roman"/>
                <w:color w:val="auto"/>
                <w:lang w:eastAsia="zh-CN"/>
              </w:rPr>
            </w:pPr>
          </w:p>
          <w:p>
            <w:pPr>
              <w:widowControl/>
              <w:jc w:val="right"/>
              <w:textAlignment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kern w:val="0"/>
                <w:szCs w:val="21"/>
              </w:rPr>
              <w:t>年     月     日</w:t>
            </w:r>
          </w:p>
        </w:tc>
        <w:tc>
          <w:tcPr>
            <w:tcW w:w="3404"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default" w:ascii="Times New Roman" w:hAnsi="Times New Roman" w:eastAsia="仿宋_GB2312" w:cs="Times New Roman"/>
                <w:color w:val="auto"/>
                <w:kern w:val="0"/>
                <w:szCs w:val="21"/>
                <w:lang w:eastAsia="zh-CN"/>
              </w:rPr>
            </w:pPr>
          </w:p>
          <w:p>
            <w:pPr>
              <w:pStyle w:val="2"/>
              <w:rPr>
                <w:rFonts w:hint="default" w:ascii="Times New Roman" w:hAnsi="Times New Roman" w:cs="Times New Roman"/>
                <w:color w:val="auto"/>
                <w:lang w:eastAsia="zh-CN"/>
              </w:rPr>
            </w:pPr>
          </w:p>
          <w:p>
            <w:pPr>
              <w:pStyle w:val="2"/>
              <w:rPr>
                <w:rFonts w:hint="default" w:ascii="Times New Roman" w:hAnsi="Times New Roman" w:cs="Times New Roman"/>
                <w:color w:val="auto"/>
                <w:lang w:eastAsia="zh-CN"/>
              </w:rPr>
            </w:pPr>
          </w:p>
          <w:p>
            <w:pPr>
              <w:pStyle w:val="2"/>
              <w:rPr>
                <w:rFonts w:hint="default" w:ascii="Times New Roman" w:hAnsi="Times New Roman" w:cs="Times New Roman"/>
                <w:color w:val="auto"/>
                <w:lang w:eastAsia="zh-CN"/>
              </w:rPr>
            </w:pPr>
          </w:p>
          <w:p>
            <w:pPr>
              <w:widowControl/>
              <w:jc w:val="right"/>
              <w:textAlignment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kern w:val="0"/>
                <w:szCs w:val="21"/>
              </w:rPr>
              <w:t>年     月     日</w:t>
            </w:r>
          </w:p>
        </w:tc>
      </w:tr>
      <w:tr>
        <w:tblPrEx>
          <w:tblCellMar>
            <w:top w:w="0" w:type="dxa"/>
            <w:left w:w="108" w:type="dxa"/>
            <w:bottom w:w="0" w:type="dxa"/>
            <w:right w:w="108" w:type="dxa"/>
          </w:tblCellMar>
        </w:tblPrEx>
        <w:trPr>
          <w:trHeight w:val="323" w:hRule="atLeast"/>
        </w:trPr>
        <w:tc>
          <w:tcPr>
            <w:tcW w:w="3388"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right"/>
              <w:rPr>
                <w:rFonts w:hint="default" w:ascii="Times New Roman" w:hAnsi="Times New Roman" w:eastAsia="仿宋_GB2312" w:cs="Times New Roman"/>
                <w:color w:val="auto"/>
                <w:szCs w:val="21"/>
              </w:rPr>
            </w:pPr>
          </w:p>
        </w:tc>
        <w:tc>
          <w:tcPr>
            <w:tcW w:w="3388"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right"/>
              <w:rPr>
                <w:rFonts w:hint="default" w:ascii="Times New Roman" w:hAnsi="Times New Roman" w:eastAsia="仿宋_GB2312" w:cs="Times New Roman"/>
                <w:color w:val="auto"/>
                <w:szCs w:val="21"/>
              </w:rPr>
            </w:pPr>
          </w:p>
        </w:tc>
        <w:tc>
          <w:tcPr>
            <w:tcW w:w="3404"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right"/>
              <w:rPr>
                <w:rFonts w:hint="default" w:ascii="Times New Roman" w:hAnsi="Times New Roman" w:eastAsia="仿宋_GB2312" w:cs="Times New Roman"/>
                <w:color w:val="auto"/>
                <w:szCs w:val="21"/>
              </w:rPr>
            </w:pPr>
          </w:p>
        </w:tc>
      </w:tr>
      <w:tr>
        <w:tblPrEx>
          <w:tblCellMar>
            <w:top w:w="0" w:type="dxa"/>
            <w:left w:w="108" w:type="dxa"/>
            <w:bottom w:w="0" w:type="dxa"/>
            <w:right w:w="108" w:type="dxa"/>
          </w:tblCellMar>
        </w:tblPrEx>
        <w:trPr>
          <w:trHeight w:val="2095" w:hRule="atLeast"/>
        </w:trPr>
        <w:tc>
          <w:tcPr>
            <w:tcW w:w="3388"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right"/>
              <w:rPr>
                <w:rFonts w:hint="default" w:ascii="Times New Roman" w:hAnsi="Times New Roman" w:eastAsia="仿宋_GB2312" w:cs="Times New Roman"/>
                <w:color w:val="auto"/>
                <w:szCs w:val="21"/>
              </w:rPr>
            </w:pPr>
          </w:p>
        </w:tc>
        <w:tc>
          <w:tcPr>
            <w:tcW w:w="3388"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right"/>
              <w:rPr>
                <w:rFonts w:hint="default" w:ascii="Times New Roman" w:hAnsi="Times New Roman" w:eastAsia="仿宋_GB2312" w:cs="Times New Roman"/>
                <w:color w:val="auto"/>
                <w:szCs w:val="21"/>
              </w:rPr>
            </w:pPr>
          </w:p>
        </w:tc>
        <w:tc>
          <w:tcPr>
            <w:tcW w:w="3404"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right"/>
              <w:rPr>
                <w:rFonts w:hint="default" w:ascii="Times New Roman" w:hAnsi="Times New Roman" w:eastAsia="仿宋_GB2312" w:cs="Times New Roman"/>
                <w:color w:val="auto"/>
                <w:szCs w:val="21"/>
              </w:rPr>
            </w:pPr>
          </w:p>
        </w:tc>
      </w:tr>
    </w:tbl>
    <w:p>
      <w:pPr>
        <w:rPr>
          <w:rFonts w:hint="default" w:ascii="Times New Roman" w:hAnsi="Times New Roman" w:cs="Times New Roman"/>
        </w:rPr>
      </w:pPr>
      <w:r>
        <w:rPr>
          <w:rFonts w:hint="default" w:ascii="Times New Roman" w:hAnsi="Times New Roman" w:eastAsia="仿宋_GB2312" w:cs="Times New Roman"/>
          <w:color w:val="auto"/>
          <w:sz w:val="32"/>
          <w:szCs w:val="32"/>
        </w:rPr>
        <w:br w:type="page"/>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fldChar w:fldCharType="begin"/>
      </w:r>
      <w:r>
        <w:rPr>
          <w:rFonts w:hint="eastAsia" w:ascii="黑体" w:hAnsi="黑体" w:eastAsia="黑体" w:cs="黑体"/>
          <w:color w:val="auto"/>
          <w:sz w:val="32"/>
          <w:szCs w:val="32"/>
        </w:rPr>
        <w:instrText xml:space="preserve">ADDIN CNKISM.UserStyle</w:instrText>
      </w:r>
      <w:r>
        <w:rPr>
          <w:rFonts w:hint="eastAsia" w:ascii="黑体" w:hAnsi="黑体" w:eastAsia="黑体" w:cs="黑体"/>
          <w:color w:val="auto"/>
          <w:sz w:val="32"/>
          <w:szCs w:val="32"/>
        </w:rPr>
        <w:fldChar w:fldCharType="end"/>
      </w:r>
      <w:r>
        <w:rPr>
          <w:rFonts w:hint="eastAsia" w:ascii="黑体" w:hAnsi="黑体" w:eastAsia="黑体" w:cs="黑体"/>
          <w:color w:val="auto"/>
          <w:sz w:val="32"/>
          <w:szCs w:val="32"/>
        </w:rPr>
        <w:t>附件</w:t>
      </w:r>
      <w:bookmarkEnd w:id="0"/>
      <w:bookmarkEnd w:id="1"/>
      <w:r>
        <w:rPr>
          <w:rFonts w:hint="eastAsia" w:ascii="黑体" w:hAnsi="黑体" w:eastAsia="黑体" w:cs="黑体"/>
          <w:color w:val="auto"/>
          <w:sz w:val="32"/>
          <w:szCs w:val="32"/>
        </w:rPr>
        <w:t>2-2</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 w:val="0"/>
          <w:bCs w:val="0"/>
          <w:color w:val="auto"/>
          <w:kern w:val="36"/>
          <w:sz w:val="44"/>
          <w:szCs w:val="44"/>
        </w:rPr>
      </w:pPr>
      <w:r>
        <w:rPr>
          <w:rFonts w:hint="default" w:ascii="Times New Roman" w:hAnsi="Times New Roman" w:eastAsia="方正小标宋简体" w:cs="Times New Roman"/>
          <w:b w:val="0"/>
          <w:bCs w:val="0"/>
          <w:color w:val="auto"/>
          <w:sz w:val="44"/>
          <w:szCs w:val="44"/>
        </w:rPr>
        <w:t>观山湖区批零住餐业重点企业</w:t>
      </w:r>
      <w:r>
        <w:rPr>
          <w:rFonts w:hint="default" w:ascii="Times New Roman" w:hAnsi="Times New Roman" w:eastAsia="方正小标宋简体" w:cs="Times New Roman"/>
          <w:b w:val="0"/>
          <w:bCs w:val="0"/>
          <w:color w:val="auto"/>
          <w:kern w:val="36"/>
          <w:sz w:val="44"/>
          <w:szCs w:val="44"/>
        </w:rPr>
        <w:t>申报提质</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 w:val="0"/>
          <w:bCs w:val="0"/>
          <w:color w:val="auto"/>
          <w:kern w:val="36"/>
          <w:sz w:val="44"/>
          <w:szCs w:val="44"/>
        </w:rPr>
      </w:pPr>
      <w:r>
        <w:rPr>
          <w:rFonts w:hint="default" w:ascii="Times New Roman" w:hAnsi="Times New Roman" w:eastAsia="方正小标宋简体" w:cs="Times New Roman"/>
          <w:b w:val="0"/>
          <w:bCs w:val="0"/>
          <w:color w:val="auto"/>
          <w:kern w:val="36"/>
          <w:sz w:val="44"/>
          <w:szCs w:val="44"/>
        </w:rPr>
        <w:t>增效扶持资金的</w:t>
      </w:r>
      <w:r>
        <w:rPr>
          <w:rFonts w:hint="default" w:ascii="Times New Roman" w:hAnsi="Times New Roman" w:eastAsia="方正小标宋简体" w:cs="Times New Roman"/>
          <w:b w:val="0"/>
          <w:bCs w:val="0"/>
          <w:color w:val="auto"/>
          <w:sz w:val="44"/>
          <w:szCs w:val="44"/>
        </w:rPr>
        <w:t>真实性承诺</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lef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本企业</w:t>
      </w:r>
      <w:r>
        <w:rPr>
          <w:rFonts w:hint="default" w:ascii="Times New Roman" w:hAnsi="Times New Roman" w:eastAsia="仿宋_GB2312" w:cs="Times New Roman"/>
          <w:color w:val="auto"/>
          <w:sz w:val="32"/>
          <w:szCs w:val="32"/>
          <w:lang w:eastAsia="zh-CN"/>
        </w:rPr>
        <w:t>根据</w:t>
      </w:r>
      <w:r>
        <w:rPr>
          <w:rFonts w:hint="default" w:ascii="Times New Roman" w:hAnsi="Times New Roman" w:eastAsia="仿宋_GB2312" w:cs="Times New Roman"/>
          <w:color w:val="auto"/>
          <w:sz w:val="32"/>
          <w:szCs w:val="32"/>
        </w:rPr>
        <w:t>《观山湖区重点企业提质增效扶持方案》《观山湖区批发零售住宿餐饮业重点企业提质增效扶持细则》进行资金申请，现承诺如下：</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本企业登记注册和实际经营地均在观山湖区行政区范围内的限上批零住餐企业，财务制度健全</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实行独立核算且依法合规经营，2年内无违法违规行为和不良社会信用记录的企业。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在此次申报所提交的资料内容均真实、合法、有效，其他如有不实之处，愿负相应的法律责任，并承担由此产生的一切后果。</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已认真阅读并理解《观山湖区批发零售住宿餐饮业重点企业提质增效扶持细则》，若在申报过程中存在弄虚作假行为，一经发现并查实，同意取消观山湖区批发零售住宿餐饮业重点企业提质增效扶持资金申请资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特此声明。</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企业法人签字</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 xml:space="preserve">               企业（盖章）</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 xml:space="preserve">                            年   月   日</w:t>
      </w:r>
    </w:p>
    <w:sectPr>
      <w:footerReference r:id="rId3" w:type="default"/>
      <w:pgSz w:w="11906" w:h="16838"/>
      <w:pgMar w:top="2098" w:right="1531" w:bottom="2098" w:left="153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w:pict>
        <v:shape id="_x0000_s4097" o:spid="_x0000_s4097" o:spt="202" type="#_x0000_t202" style="position:absolute;left:0pt;margin-left:400.45pt;margin-top:-23.75pt;height:144pt;width:144p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10"/>
                  <w:rPr>
                    <w:rFonts w:hint="eastAsia" w:eastAsiaTheme="minorEastAsia"/>
                    <w:sz w:val="24"/>
                    <w:szCs w:val="24"/>
                    <w:lang w:eastAsia="zh-CN"/>
                  </w:rPr>
                </w:pPr>
                <w:r>
                  <w:rPr>
                    <w:rFonts w:hint="eastAsia"/>
                    <w:sz w:val="24"/>
                    <w:szCs w:val="24"/>
                    <w:lang w:eastAsia="zh-CN"/>
                  </w:rPr>
                  <w:t xml:space="preserve">— </w:t>
                </w:r>
                <w:r>
                  <w:rPr>
                    <w:rFonts w:hint="eastAsia"/>
                    <w:sz w:val="24"/>
                    <w:szCs w:val="24"/>
                    <w:lang w:eastAsia="zh-CN"/>
                  </w:rPr>
                  <w:fldChar w:fldCharType="begin"/>
                </w:r>
                <w:r>
                  <w:rPr>
                    <w:rFonts w:hint="eastAsia"/>
                    <w:sz w:val="24"/>
                    <w:szCs w:val="24"/>
                    <w:lang w:eastAsia="zh-CN"/>
                  </w:rPr>
                  <w:instrText xml:space="preserve"> PAGE  \* MERGEFORMAT </w:instrText>
                </w:r>
                <w:r>
                  <w:rPr>
                    <w:rFonts w:hint="eastAsia"/>
                    <w:sz w:val="24"/>
                    <w:szCs w:val="24"/>
                    <w:lang w:eastAsia="zh-CN"/>
                  </w:rPr>
                  <w:fldChar w:fldCharType="separate"/>
                </w:r>
                <w:r>
                  <w:rPr>
                    <w:rFonts w:hint="eastAsia"/>
                    <w:sz w:val="24"/>
                    <w:szCs w:val="24"/>
                    <w:lang w:eastAsia="zh-CN"/>
                  </w:rPr>
                  <w:t>1</w:t>
                </w:r>
                <w:r>
                  <w:rPr>
                    <w:rFonts w:hint="eastAsia"/>
                    <w:sz w:val="24"/>
                    <w:szCs w:val="24"/>
                    <w:lang w:eastAsia="zh-CN"/>
                  </w:rPr>
                  <w:fldChar w:fldCharType="end"/>
                </w:r>
                <w:r>
                  <w:rPr>
                    <w:rFonts w:hint="eastAsia"/>
                    <w:sz w:val="24"/>
                    <w:szCs w:val="24"/>
                    <w:lang w:eastAsia="zh-CN"/>
                  </w:rPr>
                  <w:t xml:space="preserve"> —</w:t>
                </w:r>
              </w:p>
            </w:txbxContent>
          </v:textbox>
        </v:shape>
      </w:pict>
    </w:r>
  </w:p>
  <w:p>
    <w:pPr>
      <w:pStyle w:val="1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E3156F"/>
    <w:multiLevelType w:val="singleLevel"/>
    <w:tmpl w:val="8DE3156F"/>
    <w:lvl w:ilvl="0" w:tentative="0">
      <w:start w:val="1"/>
      <w:numFmt w:val="decimal"/>
      <w:suff w:val="space"/>
      <w:lvlText w:val="%1."/>
      <w:lvlJc w:val="left"/>
    </w:lvl>
  </w:abstractNum>
  <w:abstractNum w:abstractNumId="1">
    <w:nsid w:val="E0AAF83D"/>
    <w:multiLevelType w:val="singleLevel"/>
    <w:tmpl w:val="E0AAF83D"/>
    <w:lvl w:ilvl="0" w:tentative="0">
      <w:start w:val="2"/>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GY4ZWE3NzE5NTUyMTM3MDAwNjA1YWY5ZTU3MjliNmEifQ=="/>
  </w:docVars>
  <w:rsids>
    <w:rsidRoot w:val="1E1A7020"/>
    <w:rsid w:val="00013065"/>
    <w:rsid w:val="00023307"/>
    <w:rsid w:val="000234DD"/>
    <w:rsid w:val="000705E6"/>
    <w:rsid w:val="00094BE7"/>
    <w:rsid w:val="000A44F5"/>
    <w:rsid w:val="000D4F8E"/>
    <w:rsid w:val="000D7A54"/>
    <w:rsid w:val="001067E1"/>
    <w:rsid w:val="001417E0"/>
    <w:rsid w:val="0015170F"/>
    <w:rsid w:val="001A0433"/>
    <w:rsid w:val="001A7B50"/>
    <w:rsid w:val="001C02B6"/>
    <w:rsid w:val="00264A99"/>
    <w:rsid w:val="0028094D"/>
    <w:rsid w:val="002F11B4"/>
    <w:rsid w:val="002F135E"/>
    <w:rsid w:val="002F71DF"/>
    <w:rsid w:val="003009E2"/>
    <w:rsid w:val="0031303D"/>
    <w:rsid w:val="00342E03"/>
    <w:rsid w:val="00345D17"/>
    <w:rsid w:val="00396A4D"/>
    <w:rsid w:val="003B38C5"/>
    <w:rsid w:val="003E50DB"/>
    <w:rsid w:val="004208B4"/>
    <w:rsid w:val="0045089B"/>
    <w:rsid w:val="00455229"/>
    <w:rsid w:val="004579C9"/>
    <w:rsid w:val="00470E16"/>
    <w:rsid w:val="004A7DE9"/>
    <w:rsid w:val="004D2A82"/>
    <w:rsid w:val="004F6CEF"/>
    <w:rsid w:val="0051764D"/>
    <w:rsid w:val="00553561"/>
    <w:rsid w:val="00582E51"/>
    <w:rsid w:val="00596E8F"/>
    <w:rsid w:val="005A72B8"/>
    <w:rsid w:val="005C1D8A"/>
    <w:rsid w:val="005F053E"/>
    <w:rsid w:val="005F39C0"/>
    <w:rsid w:val="00602EB0"/>
    <w:rsid w:val="00614C3C"/>
    <w:rsid w:val="006257A7"/>
    <w:rsid w:val="006263A6"/>
    <w:rsid w:val="00632410"/>
    <w:rsid w:val="0064335A"/>
    <w:rsid w:val="00683BA9"/>
    <w:rsid w:val="006875DA"/>
    <w:rsid w:val="006A4EFC"/>
    <w:rsid w:val="006B73B7"/>
    <w:rsid w:val="006C6DC1"/>
    <w:rsid w:val="006E6B78"/>
    <w:rsid w:val="00734A7C"/>
    <w:rsid w:val="007669A7"/>
    <w:rsid w:val="007875DB"/>
    <w:rsid w:val="007947C3"/>
    <w:rsid w:val="00796B6B"/>
    <w:rsid w:val="007A12CE"/>
    <w:rsid w:val="007A358C"/>
    <w:rsid w:val="007F24A5"/>
    <w:rsid w:val="008178CE"/>
    <w:rsid w:val="008472DE"/>
    <w:rsid w:val="0085002B"/>
    <w:rsid w:val="008959D7"/>
    <w:rsid w:val="008C4130"/>
    <w:rsid w:val="008E71D1"/>
    <w:rsid w:val="00922492"/>
    <w:rsid w:val="00922B2D"/>
    <w:rsid w:val="00925D69"/>
    <w:rsid w:val="00936B73"/>
    <w:rsid w:val="00957250"/>
    <w:rsid w:val="009774A9"/>
    <w:rsid w:val="00984CCE"/>
    <w:rsid w:val="009E3733"/>
    <w:rsid w:val="009E527A"/>
    <w:rsid w:val="00A06278"/>
    <w:rsid w:val="00A07613"/>
    <w:rsid w:val="00A507B9"/>
    <w:rsid w:val="00A816ED"/>
    <w:rsid w:val="00A81C04"/>
    <w:rsid w:val="00A96206"/>
    <w:rsid w:val="00A9797F"/>
    <w:rsid w:val="00AA3CBA"/>
    <w:rsid w:val="00B914DE"/>
    <w:rsid w:val="00BA6779"/>
    <w:rsid w:val="00BD322E"/>
    <w:rsid w:val="00C141B0"/>
    <w:rsid w:val="00C20663"/>
    <w:rsid w:val="00C22D9C"/>
    <w:rsid w:val="00C26BD8"/>
    <w:rsid w:val="00C35D7D"/>
    <w:rsid w:val="00CC0521"/>
    <w:rsid w:val="00CD5A78"/>
    <w:rsid w:val="00CE28B7"/>
    <w:rsid w:val="00CF13A7"/>
    <w:rsid w:val="00D0662B"/>
    <w:rsid w:val="00D2030E"/>
    <w:rsid w:val="00D372C8"/>
    <w:rsid w:val="00D751D6"/>
    <w:rsid w:val="00DF6C7F"/>
    <w:rsid w:val="00E4319B"/>
    <w:rsid w:val="00EE6728"/>
    <w:rsid w:val="00EF075D"/>
    <w:rsid w:val="00F04C9C"/>
    <w:rsid w:val="00F64719"/>
    <w:rsid w:val="00F73E89"/>
    <w:rsid w:val="00FA73D6"/>
    <w:rsid w:val="00FC6D5D"/>
    <w:rsid w:val="02DA493F"/>
    <w:rsid w:val="031343CC"/>
    <w:rsid w:val="0424615A"/>
    <w:rsid w:val="044C4BF9"/>
    <w:rsid w:val="05E065A5"/>
    <w:rsid w:val="05FF6C49"/>
    <w:rsid w:val="08262EB6"/>
    <w:rsid w:val="086C1887"/>
    <w:rsid w:val="0A043AF1"/>
    <w:rsid w:val="0BB80880"/>
    <w:rsid w:val="0CC21008"/>
    <w:rsid w:val="0D945C07"/>
    <w:rsid w:val="0F266067"/>
    <w:rsid w:val="10283F8E"/>
    <w:rsid w:val="113E7C51"/>
    <w:rsid w:val="12C37842"/>
    <w:rsid w:val="12EC38E2"/>
    <w:rsid w:val="13EA1B16"/>
    <w:rsid w:val="14B01430"/>
    <w:rsid w:val="14BB4380"/>
    <w:rsid w:val="151E4833"/>
    <w:rsid w:val="154F5BAA"/>
    <w:rsid w:val="175E6B6A"/>
    <w:rsid w:val="17752741"/>
    <w:rsid w:val="179C6FD7"/>
    <w:rsid w:val="17A538A6"/>
    <w:rsid w:val="183D4FEE"/>
    <w:rsid w:val="195358CD"/>
    <w:rsid w:val="198F3627"/>
    <w:rsid w:val="19CC2B12"/>
    <w:rsid w:val="19DA44F8"/>
    <w:rsid w:val="19E35743"/>
    <w:rsid w:val="1A0478B9"/>
    <w:rsid w:val="1AAC1FB7"/>
    <w:rsid w:val="1CEC2A72"/>
    <w:rsid w:val="1D783832"/>
    <w:rsid w:val="1E1A7020"/>
    <w:rsid w:val="1F7D14D3"/>
    <w:rsid w:val="203D52B4"/>
    <w:rsid w:val="223409AD"/>
    <w:rsid w:val="235723E3"/>
    <w:rsid w:val="235A3108"/>
    <w:rsid w:val="24E34FDF"/>
    <w:rsid w:val="24EB7A61"/>
    <w:rsid w:val="25BF46C2"/>
    <w:rsid w:val="274F3AEE"/>
    <w:rsid w:val="275D4EF5"/>
    <w:rsid w:val="27D56F05"/>
    <w:rsid w:val="2824541C"/>
    <w:rsid w:val="286B61F7"/>
    <w:rsid w:val="2A5B54C4"/>
    <w:rsid w:val="2BBF4052"/>
    <w:rsid w:val="2C844B41"/>
    <w:rsid w:val="2CE83CF7"/>
    <w:rsid w:val="320D0367"/>
    <w:rsid w:val="33000F55"/>
    <w:rsid w:val="33283393"/>
    <w:rsid w:val="33BE3EEB"/>
    <w:rsid w:val="3765573A"/>
    <w:rsid w:val="39E86DC2"/>
    <w:rsid w:val="3B556027"/>
    <w:rsid w:val="3D6A6122"/>
    <w:rsid w:val="3FE84CCC"/>
    <w:rsid w:val="40E5568E"/>
    <w:rsid w:val="41384686"/>
    <w:rsid w:val="416A2100"/>
    <w:rsid w:val="41A10C02"/>
    <w:rsid w:val="41B64691"/>
    <w:rsid w:val="421839C8"/>
    <w:rsid w:val="42777AD1"/>
    <w:rsid w:val="427F292A"/>
    <w:rsid w:val="438713CB"/>
    <w:rsid w:val="43992699"/>
    <w:rsid w:val="43EE356D"/>
    <w:rsid w:val="473A366F"/>
    <w:rsid w:val="48566FBA"/>
    <w:rsid w:val="49800828"/>
    <w:rsid w:val="49B006D6"/>
    <w:rsid w:val="4C421CD8"/>
    <w:rsid w:val="4CAE1A3B"/>
    <w:rsid w:val="4DBC2986"/>
    <w:rsid w:val="4E5F25CE"/>
    <w:rsid w:val="4E9D3B67"/>
    <w:rsid w:val="4F491AE0"/>
    <w:rsid w:val="50186310"/>
    <w:rsid w:val="50D715FA"/>
    <w:rsid w:val="51305A73"/>
    <w:rsid w:val="51503BB4"/>
    <w:rsid w:val="51DD06CC"/>
    <w:rsid w:val="53DC55FB"/>
    <w:rsid w:val="540A54A6"/>
    <w:rsid w:val="547D7F3D"/>
    <w:rsid w:val="54E16FAD"/>
    <w:rsid w:val="569D37E6"/>
    <w:rsid w:val="57855BE1"/>
    <w:rsid w:val="5A252C10"/>
    <w:rsid w:val="5A9158B9"/>
    <w:rsid w:val="5B777760"/>
    <w:rsid w:val="5BAF0B4F"/>
    <w:rsid w:val="5C2C472A"/>
    <w:rsid w:val="5CAA1AA7"/>
    <w:rsid w:val="5E336C78"/>
    <w:rsid w:val="5FC20B3F"/>
    <w:rsid w:val="5FD96977"/>
    <w:rsid w:val="60C77966"/>
    <w:rsid w:val="61F9376A"/>
    <w:rsid w:val="64001D63"/>
    <w:rsid w:val="64373C6C"/>
    <w:rsid w:val="65C35849"/>
    <w:rsid w:val="65CD41CE"/>
    <w:rsid w:val="665F6EF1"/>
    <w:rsid w:val="66976C44"/>
    <w:rsid w:val="66F23351"/>
    <w:rsid w:val="67E1552F"/>
    <w:rsid w:val="6826333A"/>
    <w:rsid w:val="692112E5"/>
    <w:rsid w:val="693B2FE4"/>
    <w:rsid w:val="69B959F7"/>
    <w:rsid w:val="6E410F0E"/>
    <w:rsid w:val="6F1502CF"/>
    <w:rsid w:val="701A1F79"/>
    <w:rsid w:val="712E5228"/>
    <w:rsid w:val="71D76A8E"/>
    <w:rsid w:val="72873175"/>
    <w:rsid w:val="73BD59CF"/>
    <w:rsid w:val="73E27A03"/>
    <w:rsid w:val="74881AC2"/>
    <w:rsid w:val="76540E58"/>
    <w:rsid w:val="79305A1C"/>
    <w:rsid w:val="7A045B96"/>
    <w:rsid w:val="7A3476C8"/>
    <w:rsid w:val="7B343644"/>
    <w:rsid w:val="7B8F207C"/>
    <w:rsid w:val="7CD168C2"/>
    <w:rsid w:val="7F194E42"/>
    <w:rsid w:val="7F8503AD"/>
    <w:rsid w:val="7FE774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6">
    <w:name w:val="heading 2"/>
    <w:basedOn w:val="1"/>
    <w:next w:val="1"/>
    <w:qFormat/>
    <w:uiPriority w:val="0"/>
    <w:pPr>
      <w:keepNext/>
      <w:keepLines/>
      <w:spacing w:line="560" w:lineRule="exact"/>
      <w:ind w:firstLine="880" w:firstLineChars="200"/>
      <w:outlineLvl w:val="1"/>
    </w:pPr>
    <w:rPr>
      <w:rFonts w:eastAsia="黑体" w:cs="Calibri"/>
      <w:kern w:val="0"/>
    </w:rPr>
  </w:style>
  <w:style w:type="character" w:default="1" w:styleId="14">
    <w:name w:val="Default Paragraph Font"/>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unhideWhenUsed/>
    <w:qFormat/>
    <w:uiPriority w:val="0"/>
    <w:pPr>
      <w:ind w:firstLine="420" w:firstLineChars="200"/>
    </w:pPr>
  </w:style>
  <w:style w:type="paragraph" w:styleId="3">
    <w:name w:val="Body Text Indent"/>
    <w:basedOn w:val="1"/>
    <w:next w:val="4"/>
    <w:unhideWhenUsed/>
    <w:qFormat/>
    <w:uiPriority w:val="0"/>
    <w:pPr>
      <w:spacing w:after="120"/>
      <w:ind w:left="420" w:leftChars="200"/>
    </w:pPr>
  </w:style>
  <w:style w:type="paragraph" w:styleId="4">
    <w:name w:val="Body Text Indent 2"/>
    <w:basedOn w:val="1"/>
    <w:next w:val="5"/>
    <w:qFormat/>
    <w:uiPriority w:val="0"/>
    <w:pPr>
      <w:ind w:firstLine="630"/>
    </w:pPr>
    <w:rPr>
      <w:b/>
      <w:bCs/>
    </w:rPr>
  </w:style>
  <w:style w:type="paragraph" w:styleId="5">
    <w:name w:val="Body Text Indent 3"/>
    <w:basedOn w:val="1"/>
    <w:qFormat/>
    <w:uiPriority w:val="0"/>
    <w:pPr>
      <w:spacing w:line="660" w:lineRule="exact"/>
      <w:ind w:right="16" w:firstLine="560" w:firstLineChars="200"/>
    </w:pPr>
    <w:rPr>
      <w:rFonts w:ascii="仿宋_GB2312"/>
      <w:spacing w:val="-20"/>
      <w:szCs w:val="20"/>
    </w:rPr>
  </w:style>
  <w:style w:type="paragraph" w:styleId="7">
    <w:name w:val="Body Text"/>
    <w:basedOn w:val="1"/>
    <w:qFormat/>
    <w:uiPriority w:val="0"/>
  </w:style>
  <w:style w:type="paragraph" w:styleId="8">
    <w:name w:val="Date"/>
    <w:basedOn w:val="1"/>
    <w:next w:val="1"/>
    <w:link w:val="19"/>
    <w:qFormat/>
    <w:uiPriority w:val="0"/>
    <w:pPr>
      <w:ind w:left="100" w:leftChars="2500"/>
    </w:pPr>
  </w:style>
  <w:style w:type="paragraph" w:styleId="9">
    <w:name w:val="Balloon Text"/>
    <w:basedOn w:val="1"/>
    <w:link w:val="20"/>
    <w:qFormat/>
    <w:uiPriority w:val="0"/>
    <w:rPr>
      <w:sz w:val="18"/>
      <w:szCs w:val="18"/>
    </w:rPr>
  </w:style>
  <w:style w:type="paragraph" w:styleId="10">
    <w:name w:val="footer"/>
    <w:basedOn w:val="1"/>
    <w:link w:val="18"/>
    <w:qFormat/>
    <w:uiPriority w:val="99"/>
    <w:pPr>
      <w:tabs>
        <w:tab w:val="center" w:pos="4153"/>
        <w:tab w:val="right" w:pos="8306"/>
      </w:tabs>
      <w:snapToGrid w:val="0"/>
      <w:jc w:val="left"/>
    </w:pPr>
    <w:rPr>
      <w:sz w:val="18"/>
      <w:szCs w:val="18"/>
    </w:rPr>
  </w:style>
  <w:style w:type="paragraph" w:styleId="11">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Body Text First Indent 21"/>
    <w:basedOn w:val="16"/>
    <w:qFormat/>
    <w:uiPriority w:val="0"/>
    <w:pPr>
      <w:ind w:left="200" w:firstLine="420"/>
    </w:pPr>
    <w:rPr>
      <w:rFonts w:ascii="仿宋_GB2312" w:hAnsi="Calibri" w:eastAsia="仿宋_GB2312" w:cs="仿宋_GB2312"/>
      <w:sz w:val="32"/>
      <w:szCs w:val="32"/>
    </w:rPr>
  </w:style>
  <w:style w:type="paragraph" w:customStyle="1" w:styleId="16">
    <w:name w:val="Body Text Indent1"/>
    <w:basedOn w:val="1"/>
    <w:qFormat/>
    <w:uiPriority w:val="0"/>
    <w:pPr>
      <w:ind w:left="420" w:leftChars="200"/>
    </w:pPr>
    <w:rPr>
      <w:rFonts w:ascii="Times New Roman" w:hAnsi="Times New Roman"/>
    </w:rPr>
  </w:style>
  <w:style w:type="character" w:customStyle="1" w:styleId="17">
    <w:name w:val="页眉 Char"/>
    <w:basedOn w:val="14"/>
    <w:link w:val="11"/>
    <w:qFormat/>
    <w:uiPriority w:val="0"/>
    <w:rPr>
      <w:kern w:val="2"/>
      <w:sz w:val="18"/>
      <w:szCs w:val="18"/>
    </w:rPr>
  </w:style>
  <w:style w:type="character" w:customStyle="1" w:styleId="18">
    <w:name w:val="页脚 Char"/>
    <w:basedOn w:val="14"/>
    <w:link w:val="10"/>
    <w:qFormat/>
    <w:uiPriority w:val="99"/>
    <w:rPr>
      <w:kern w:val="2"/>
      <w:sz w:val="18"/>
      <w:szCs w:val="18"/>
    </w:rPr>
  </w:style>
  <w:style w:type="character" w:customStyle="1" w:styleId="19">
    <w:name w:val="日期 Char"/>
    <w:basedOn w:val="14"/>
    <w:link w:val="8"/>
    <w:qFormat/>
    <w:uiPriority w:val="0"/>
    <w:rPr>
      <w:kern w:val="2"/>
      <w:sz w:val="21"/>
      <w:szCs w:val="24"/>
    </w:rPr>
  </w:style>
  <w:style w:type="character" w:customStyle="1" w:styleId="20">
    <w:name w:val="批注框文本 Char"/>
    <w:basedOn w:val="14"/>
    <w:link w:val="9"/>
    <w:qFormat/>
    <w:uiPriority w:val="0"/>
    <w:rPr>
      <w:kern w:val="2"/>
      <w:sz w:val="18"/>
      <w:szCs w:val="18"/>
    </w:rPr>
  </w:style>
  <w:style w:type="character" w:customStyle="1" w:styleId="21">
    <w:name w:val="font21"/>
    <w:basedOn w:val="14"/>
    <w:qFormat/>
    <w:uiPriority w:val="0"/>
    <w:rPr>
      <w:rFonts w:hint="default" w:ascii="仿宋_GB2312" w:eastAsia="仿宋_GB2312" w:cs="仿宋_GB2312"/>
      <w:color w:val="000000"/>
      <w:sz w:val="21"/>
      <w:szCs w:val="21"/>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2392</Words>
  <Characters>2490</Characters>
  <Lines>20</Lines>
  <Paragraphs>5</Paragraphs>
  <TotalTime>0</TotalTime>
  <ScaleCrop>false</ScaleCrop>
  <LinksUpToDate>false</LinksUpToDate>
  <CharactersWithSpaces>2637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2021-12-15T14:45:00Z</dcterms:created>
  <dc:creator>CiCi</dc:creator>
  <cp:lastModifiedBy>qzuser</cp:lastModifiedBy>
  <cp:lastPrinted>2022-01-10T01:49:00Z</cp:lastPrinted>
  <dcterms:modified xsi:type="dcterms:W3CDTF">2023-09-08T03:05:44Z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6C5E4F2349C44F278277C06969229B40</vt:lpwstr>
  </property>
</Properties>
</file>