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b/>
          <w:bCs/>
          <w:sz w:val="40"/>
          <w:szCs w:val="40"/>
          <w:lang w:eastAsia="zh-CN"/>
        </w:rPr>
      </w:pPr>
      <w:bookmarkStart w:id="0" w:name="_Toc109100682"/>
      <w:bookmarkEnd w:id="0"/>
      <w:bookmarkStart w:id="1" w:name="_Toc109101265"/>
      <w:bookmarkEnd w:id="1"/>
      <w:bookmarkStart w:id="2" w:name="_Toc109109056"/>
      <w:bookmarkEnd w:id="2"/>
      <w:bookmarkStart w:id="3" w:name="_Toc122331636"/>
      <w:bookmarkEnd w:id="3"/>
      <w:bookmarkStart w:id="4" w:name="_Toc24174"/>
      <w:r>
        <w:rPr>
          <w:rFonts w:hint="eastAsia" w:ascii="宋体" w:hAnsi="宋体"/>
          <w:b/>
          <w:bCs/>
          <w:sz w:val="40"/>
          <w:szCs w:val="40"/>
          <w:lang w:eastAsia="zh-CN"/>
        </w:rPr>
        <w:t>观山湖区现代制造产业园区域社会稳定风险评估</w:t>
      </w:r>
      <w:bookmarkEnd w:id="4"/>
    </w:p>
    <w:p>
      <w:pPr>
        <w:jc w:val="center"/>
        <w:rPr>
          <w:rFonts w:hint="eastAsia" w:ascii="宋体" w:hAnsi="宋体"/>
          <w:sz w:val="24"/>
        </w:rPr>
      </w:pPr>
    </w:p>
    <w:p>
      <w:pPr>
        <w:jc w:val="center"/>
        <w:rPr>
          <w:rFonts w:hint="eastAsia" w:ascii="宋体" w:hAnsi="宋体"/>
          <w:sz w:val="24"/>
        </w:rPr>
      </w:pPr>
    </w:p>
    <w:p>
      <w:pPr>
        <w:jc w:val="center"/>
        <w:outlineLvl w:val="9"/>
        <w:rPr>
          <w:rFonts w:hint="eastAsia" w:ascii="宋体" w:hAnsi="宋体"/>
          <w:sz w:val="86"/>
        </w:rPr>
      </w:pPr>
      <w:bookmarkStart w:id="5" w:name="_Toc155668976"/>
      <w:bookmarkStart w:id="6" w:name="_Toc30489"/>
      <w:bookmarkStart w:id="7" w:name="_Toc204077226"/>
      <w:bookmarkStart w:id="8" w:name="_Toc24224"/>
      <w:bookmarkStart w:id="9" w:name="_Toc154896955"/>
      <w:bookmarkStart w:id="10" w:name="_Toc6116"/>
      <w:bookmarkStart w:id="11" w:name="_Toc153854269"/>
      <w:bookmarkStart w:id="12" w:name="_Toc7401"/>
      <w:bookmarkStart w:id="13" w:name="_Toc122333028"/>
      <w:bookmarkStart w:id="14" w:name="_Toc122331637"/>
      <w:bookmarkStart w:id="15" w:name="_Toc29373"/>
      <w:bookmarkStart w:id="16" w:name="_Toc4194"/>
      <w:bookmarkStart w:id="17" w:name="_Toc231700741"/>
      <w:bookmarkStart w:id="18" w:name="_Toc204077362"/>
    </w:p>
    <w:p>
      <w:pPr>
        <w:jc w:val="center"/>
        <w:outlineLvl w:val="9"/>
        <w:rPr>
          <w:rFonts w:hint="eastAsia" w:ascii="宋体" w:hAnsi="宋体"/>
          <w:sz w:val="86"/>
        </w:rPr>
      </w:pPr>
    </w:p>
    <w:p>
      <w:pPr>
        <w:jc w:val="center"/>
        <w:outlineLvl w:val="9"/>
        <w:rPr>
          <w:rFonts w:hint="eastAsia" w:ascii="宋体" w:hAnsi="宋体"/>
          <w:sz w:val="86"/>
        </w:rPr>
      </w:pPr>
    </w:p>
    <w:p>
      <w:pPr>
        <w:jc w:val="center"/>
        <w:outlineLvl w:val="0"/>
        <w:rPr>
          <w:rFonts w:hint="eastAsia" w:ascii="宋体" w:hAnsi="宋体"/>
          <w:sz w:val="86"/>
        </w:rPr>
      </w:pPr>
      <w:bookmarkStart w:id="19" w:name="_Toc33779476"/>
      <w:bookmarkStart w:id="20" w:name="_Toc10422"/>
      <w:bookmarkStart w:id="21" w:name="_Toc23705"/>
      <w:r>
        <w:rPr>
          <w:rFonts w:hint="eastAsia" w:ascii="宋体" w:hAnsi="宋体"/>
          <w:sz w:val="86"/>
          <w:lang w:val="en-US" w:eastAsia="zh-CN"/>
        </w:rPr>
        <w:t>竞争性磋商</w:t>
      </w:r>
      <w:r>
        <w:rPr>
          <w:rFonts w:hint="eastAsia" w:ascii="宋体" w:hAnsi="宋体"/>
          <w:sz w:val="86"/>
        </w:rPr>
        <w:t>文件</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jc w:val="center"/>
        <w:rPr>
          <w:rFonts w:hint="eastAsia" w:ascii="宋体" w:hAnsi="宋体"/>
          <w:sz w:val="28"/>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ind w:firstLine="1267" w:firstLineChars="396"/>
        <w:outlineLvl w:val="0"/>
        <w:rPr>
          <w:rFonts w:hint="eastAsia" w:ascii="宋体" w:hAnsi="宋体" w:eastAsia="宋体"/>
          <w:b/>
          <w:bCs/>
          <w:sz w:val="32"/>
          <w:szCs w:val="32"/>
          <w:lang w:eastAsia="zh-CN"/>
        </w:rPr>
      </w:pPr>
      <w:bookmarkStart w:id="22" w:name="_Toc7272"/>
      <w:bookmarkStart w:id="23" w:name="_Toc7230"/>
      <w:r>
        <w:rPr>
          <w:rFonts w:hint="eastAsia" w:ascii="宋体" w:hAnsi="宋体"/>
          <w:b/>
          <w:bCs/>
          <w:kern w:val="0"/>
          <w:sz w:val="32"/>
          <w:szCs w:val="32"/>
          <w:lang w:val="en-US" w:eastAsia="zh-CN"/>
        </w:rPr>
        <w:t xml:space="preserve">采 购 </w:t>
      </w:r>
      <w:r>
        <w:rPr>
          <w:rFonts w:hint="eastAsia" w:ascii="宋体" w:hAnsi="宋体"/>
          <w:b/>
          <w:bCs/>
          <w:kern w:val="0"/>
          <w:sz w:val="32"/>
          <w:szCs w:val="32"/>
        </w:rPr>
        <w:t>人</w:t>
      </w:r>
      <w:r>
        <w:rPr>
          <w:rFonts w:hint="eastAsia" w:ascii="宋体" w:hAnsi="宋体"/>
          <w:b/>
          <w:bCs/>
          <w:sz w:val="32"/>
          <w:szCs w:val="32"/>
        </w:rPr>
        <w:t>：</w:t>
      </w:r>
      <w:r>
        <w:rPr>
          <w:rFonts w:hint="eastAsia" w:ascii="宋体" w:hAnsi="宋体"/>
          <w:b/>
          <w:bCs/>
          <w:sz w:val="32"/>
          <w:szCs w:val="32"/>
          <w:lang w:eastAsia="zh-CN"/>
        </w:rPr>
        <w:t>观山湖区现代制造业产业发展办公室</w:t>
      </w:r>
      <w:bookmarkEnd w:id="22"/>
      <w:bookmarkEnd w:id="23"/>
    </w:p>
    <w:p>
      <w:pPr>
        <w:rPr>
          <w:rFonts w:hint="eastAsia"/>
        </w:rPr>
      </w:pPr>
    </w:p>
    <w:p>
      <w:pPr>
        <w:jc w:val="center"/>
        <w:outlineLvl w:val="0"/>
        <w:rPr>
          <w:rFonts w:hint="eastAsia" w:ascii="宋体" w:hAnsi="宋体"/>
          <w:sz w:val="24"/>
        </w:rPr>
      </w:pPr>
      <w:bookmarkStart w:id="24" w:name="_Toc33779477"/>
      <w:bookmarkStart w:id="25" w:name="_Toc27119"/>
      <w:bookmarkStart w:id="26" w:name="_Toc24388"/>
      <w:bookmarkStart w:id="27" w:name="_Toc14382"/>
      <w:bookmarkStart w:id="28" w:name="_Toc22850"/>
      <w:bookmarkStart w:id="29" w:name="_Toc29971"/>
      <w:bookmarkStart w:id="30" w:name="_Toc18788"/>
      <w:bookmarkStart w:id="31" w:name="_Toc6269"/>
      <w:bookmarkStart w:id="32" w:name="_Toc9701"/>
      <w:r>
        <w:rPr>
          <w:rFonts w:hint="eastAsia" w:ascii="宋体" w:hAnsi="宋体"/>
          <w:b/>
          <w:sz w:val="28"/>
          <w:szCs w:val="28"/>
        </w:rPr>
        <w:t>二○二</w:t>
      </w:r>
      <w:r>
        <w:rPr>
          <w:rFonts w:hint="eastAsia" w:ascii="宋体" w:hAnsi="宋体"/>
          <w:b/>
          <w:sz w:val="28"/>
          <w:szCs w:val="28"/>
          <w:lang w:eastAsia="zh-CN"/>
        </w:rPr>
        <w:t>二</w:t>
      </w:r>
      <w:r>
        <w:rPr>
          <w:rFonts w:hint="eastAsia" w:ascii="宋体" w:hAnsi="宋体"/>
          <w:b/>
          <w:sz w:val="28"/>
          <w:szCs w:val="28"/>
        </w:rPr>
        <w:t>年</w:t>
      </w:r>
      <w:r>
        <w:rPr>
          <w:rFonts w:hint="eastAsia" w:ascii="宋体" w:hAnsi="宋体"/>
          <w:b/>
          <w:sz w:val="28"/>
          <w:szCs w:val="28"/>
          <w:lang w:val="en-US" w:eastAsia="zh-CN"/>
        </w:rPr>
        <w:t>十一</w:t>
      </w:r>
      <w:r>
        <w:rPr>
          <w:rFonts w:hint="eastAsia" w:ascii="宋体" w:hAnsi="宋体"/>
          <w:b/>
          <w:sz w:val="28"/>
          <w:szCs w:val="28"/>
        </w:rPr>
        <w:t>月</w:t>
      </w:r>
      <w:bookmarkStart w:id="33" w:name="_Toc109101268"/>
      <w:bookmarkStart w:id="34" w:name="_Toc109100685"/>
      <w:bookmarkStart w:id="35" w:name="_Toc122331639"/>
      <w:bookmarkStart w:id="36" w:name="_Toc109109059"/>
      <w:r>
        <w:rPr>
          <w:rFonts w:hint="eastAsia" w:ascii="宋体" w:hAnsi="宋体"/>
          <w:b/>
          <w:sz w:val="28"/>
          <w:szCs w:val="28"/>
          <w:lang w:eastAsia="zh-CN"/>
        </w:rPr>
        <w:t>二十三</w:t>
      </w:r>
      <w:r>
        <w:rPr>
          <w:rFonts w:hint="eastAsia" w:ascii="宋体" w:hAnsi="宋体"/>
          <w:b/>
          <w:sz w:val="28"/>
          <w:szCs w:val="28"/>
        </w:rPr>
        <w:t>日</w:t>
      </w:r>
      <w:bookmarkEnd w:id="24"/>
      <w:bookmarkEnd w:id="25"/>
      <w:bookmarkEnd w:id="26"/>
      <w:bookmarkEnd w:id="27"/>
      <w:bookmarkEnd w:id="28"/>
      <w:bookmarkEnd w:id="29"/>
      <w:bookmarkEnd w:id="30"/>
      <w:bookmarkEnd w:id="31"/>
      <w:bookmarkEnd w:id="32"/>
      <w:bookmarkEnd w:id="33"/>
      <w:bookmarkEnd w:id="34"/>
      <w:bookmarkEnd w:id="35"/>
      <w:bookmarkEnd w:id="36"/>
      <w:bookmarkStart w:id="37" w:name="_Hlt41300452"/>
      <w:bookmarkEnd w:id="37"/>
      <w:bookmarkStart w:id="38" w:name="_Toc514062491"/>
      <w:bookmarkStart w:id="39" w:name="_Toc204077234"/>
      <w:bookmarkStart w:id="40" w:name="_Toc41899280"/>
      <w:bookmarkStart w:id="41" w:name="_Toc82577300"/>
      <w:bookmarkStart w:id="42" w:name="_Toc36356287"/>
      <w:bookmarkStart w:id="43" w:name="_Toc109100503"/>
      <w:bookmarkStart w:id="44" w:name="_Toc231700756"/>
      <w:bookmarkStart w:id="45" w:name="_Toc36351835"/>
      <w:r>
        <w:rPr>
          <w:rFonts w:hint="eastAsia" w:ascii="宋体" w:hAnsi="宋体"/>
          <w:sz w:val="24"/>
        </w:rPr>
        <w:t xml:space="preserve">    </w:t>
      </w:r>
    </w:p>
    <w:p>
      <w:pPr>
        <w:pStyle w:val="22"/>
        <w:rPr>
          <w:rFonts w:hint="eastAsia" w:ascii="宋体" w:hAnsi="宋体"/>
          <w:sz w:val="24"/>
        </w:rPr>
      </w:pPr>
    </w:p>
    <w:p>
      <w:pPr>
        <w:pStyle w:val="7"/>
        <w:rPr>
          <w:rFonts w:hint="eastAsia" w:ascii="宋体" w:hAnsi="宋体"/>
          <w:sz w:val="24"/>
        </w:rPr>
      </w:pPr>
    </w:p>
    <w:p>
      <w:pPr>
        <w:pStyle w:val="10"/>
        <w:rPr>
          <w:rFonts w:hint="eastAsia" w:ascii="宋体" w:hAnsi="宋体"/>
          <w:sz w:val="24"/>
        </w:rPr>
      </w:pPr>
    </w:p>
    <w:p>
      <w:pPr>
        <w:rPr>
          <w:rFonts w:hint="eastAsia" w:ascii="宋体" w:hAnsi="宋体"/>
          <w:sz w:val="24"/>
        </w:rPr>
      </w:pPr>
    </w:p>
    <w:p>
      <w:pPr>
        <w:spacing w:before="0" w:beforeLines="0" w:after="0" w:afterLines="0" w:line="240" w:lineRule="auto"/>
        <w:ind w:left="0" w:leftChars="0" w:right="0" w:rightChars="0" w:firstLine="0" w:firstLineChars="0"/>
        <w:jc w:val="both"/>
        <w:rPr>
          <w:rFonts w:ascii="宋体" w:hAnsi="宋体" w:eastAsia="宋体"/>
          <w:b/>
          <w:bCs/>
          <w:sz w:val="44"/>
          <w:szCs w:val="52"/>
        </w:rPr>
        <w:sectPr>
          <w:headerReference r:id="rId3" w:type="default"/>
          <w:footerReference r:id="rId4" w:type="default"/>
          <w:footerReference r:id="rId5" w:type="even"/>
          <w:pgSz w:w="11907" w:h="16840"/>
          <w:pgMar w:top="1400" w:right="1134" w:bottom="1134" w:left="1440" w:header="851" w:footer="992" w:gutter="0"/>
          <w:cols w:space="720" w:num="1"/>
          <w:titlePg/>
          <w:docGrid w:type="linesAndChars" w:linePitch="312" w:charSpace="0"/>
        </w:sectPr>
      </w:pPr>
    </w:p>
    <w:p>
      <w:pPr>
        <w:spacing w:before="0" w:beforeLines="0" w:after="0" w:afterLines="0" w:line="240" w:lineRule="auto"/>
        <w:ind w:left="0" w:leftChars="0" w:right="0" w:rightChars="0" w:firstLine="0" w:firstLineChars="0"/>
        <w:jc w:val="center"/>
        <w:rPr>
          <w:rFonts w:ascii="宋体" w:hAnsi="宋体" w:eastAsia="宋体"/>
          <w:b/>
          <w:bCs/>
          <w:sz w:val="44"/>
          <w:szCs w:val="52"/>
        </w:rPr>
      </w:pPr>
      <w:r>
        <w:rPr>
          <w:rFonts w:ascii="宋体" w:hAnsi="宋体" w:eastAsia="宋体"/>
          <w:b/>
          <w:bCs/>
          <w:sz w:val="44"/>
          <w:szCs w:val="52"/>
        </w:rPr>
        <w:t>目</w:t>
      </w:r>
      <w:r>
        <w:rPr>
          <w:rFonts w:hint="eastAsia" w:ascii="宋体" w:hAnsi="宋体" w:eastAsia="宋体"/>
          <w:b/>
          <w:bCs/>
          <w:sz w:val="44"/>
          <w:szCs w:val="52"/>
          <w:lang w:val="en-US" w:eastAsia="zh-CN"/>
        </w:rPr>
        <w:t xml:space="preserve"> </w:t>
      </w:r>
      <w:r>
        <w:rPr>
          <w:rFonts w:ascii="宋体" w:hAnsi="宋体" w:eastAsia="宋体"/>
          <w:b/>
          <w:bCs/>
          <w:sz w:val="44"/>
          <w:szCs w:val="52"/>
        </w:rPr>
        <w:t>录</w:t>
      </w:r>
    </w:p>
    <w:p>
      <w:pPr>
        <w:pStyle w:val="22"/>
      </w:pPr>
    </w:p>
    <w:p>
      <w:pPr>
        <w:pStyle w:val="23"/>
        <w:tabs>
          <w:tab w:val="right" w:leader="dot" w:pos="9333"/>
        </w:tabs>
        <w:spacing w:line="360" w:lineRule="auto"/>
        <w:rPr>
          <w:sz w:val="32"/>
          <w:szCs w:val="32"/>
        </w:rPr>
      </w:pPr>
      <w:r>
        <w:rPr>
          <w:sz w:val="32"/>
          <w:szCs w:val="32"/>
        </w:rPr>
        <w:fldChar w:fldCharType="begin"/>
      </w:r>
      <w:r>
        <w:rPr>
          <w:sz w:val="32"/>
          <w:szCs w:val="32"/>
        </w:rPr>
        <w:instrText xml:space="preserve">TOC \o "1-2" \h \u </w:instrText>
      </w:r>
      <w:r>
        <w:rPr>
          <w:sz w:val="32"/>
          <w:szCs w:val="32"/>
        </w:rPr>
        <w:fldChar w:fldCharType="separate"/>
      </w:r>
    </w:p>
    <w:sdt>
      <w:sdtPr>
        <w:rPr>
          <w:rFonts w:ascii="宋体" w:hAnsi="宋体" w:eastAsia="宋体" w:cs="Times New Roman"/>
          <w:kern w:val="2"/>
          <w:sz w:val="21"/>
          <w:szCs w:val="24"/>
          <w:lang w:val="en-US" w:eastAsia="zh-CN" w:bidi="ar-SA"/>
        </w:rPr>
        <w:id w:val="147459206"/>
        <w15:color w:val="DBDBDB"/>
        <w:docPartObj>
          <w:docPartGallery w:val="Table of Contents"/>
          <w:docPartUnique/>
        </w:docPartObj>
      </w:sdtPr>
      <w:sdtEndPr>
        <w:rPr>
          <w:rFonts w:ascii="Calibri" w:hAnsi="Calibri" w:eastAsia="宋体" w:cs="Times New Roman"/>
          <w:kern w:val="2"/>
          <w:sz w:val="20"/>
          <w:szCs w:val="32"/>
          <w:lang w:val="en-US" w:eastAsia="zh-CN" w:bidi="ar-SA"/>
        </w:rPr>
      </w:sdtEndPr>
      <w:sdtContent>
        <w:p>
          <w:pPr>
            <w:spacing w:before="0" w:beforeLines="0" w:after="0" w:afterLines="0" w:line="240" w:lineRule="auto"/>
            <w:ind w:left="0" w:leftChars="0" w:right="0" w:rightChars="0" w:firstLine="0" w:firstLineChars="0"/>
            <w:jc w:val="center"/>
          </w:pPr>
          <w:r>
            <w:rPr>
              <w:sz w:val="32"/>
              <w:szCs w:val="32"/>
            </w:rPr>
            <w:fldChar w:fldCharType="begin"/>
          </w:r>
          <w:r>
            <w:rPr>
              <w:sz w:val="32"/>
              <w:szCs w:val="32"/>
            </w:rPr>
            <w:instrText xml:space="preserve">TOC \o "1-1" \h \u </w:instrText>
          </w:r>
          <w:r>
            <w:rPr>
              <w:sz w:val="32"/>
              <w:szCs w:val="32"/>
            </w:rPr>
            <w:fldChar w:fldCharType="separate"/>
          </w:r>
        </w:p>
        <w:p>
          <w:pPr>
            <w:pStyle w:val="23"/>
            <w:tabs>
              <w:tab w:val="right" w:leader="dot" w:pos="9333"/>
            </w:tabs>
            <w:rPr>
              <w:sz w:val="28"/>
              <w:szCs w:val="28"/>
            </w:rPr>
          </w:pPr>
          <w:r>
            <w:rPr>
              <w:sz w:val="28"/>
              <w:szCs w:val="48"/>
            </w:rPr>
            <w:fldChar w:fldCharType="begin"/>
          </w:r>
          <w:r>
            <w:rPr>
              <w:sz w:val="28"/>
              <w:szCs w:val="48"/>
            </w:rPr>
            <w:instrText xml:space="preserve"> HYPERLINK \l _Toc1826 </w:instrText>
          </w:r>
          <w:r>
            <w:rPr>
              <w:sz w:val="28"/>
              <w:szCs w:val="48"/>
            </w:rPr>
            <w:fldChar w:fldCharType="separate"/>
          </w:r>
          <w:r>
            <w:rPr>
              <w:rFonts w:hint="eastAsia" w:ascii="宋体" w:eastAsia="宋体"/>
              <w:sz w:val="28"/>
              <w:szCs w:val="28"/>
            </w:rPr>
            <w:t xml:space="preserve">第一章 </w:t>
          </w:r>
          <w:r>
            <w:rPr>
              <w:rFonts w:hint="eastAsia" w:ascii="宋体" w:eastAsia="宋体"/>
              <w:sz w:val="28"/>
              <w:szCs w:val="28"/>
              <w:lang w:eastAsia="zh-CN"/>
            </w:rPr>
            <w:t>竞争性磋商</w:t>
          </w:r>
          <w:r>
            <w:rPr>
              <w:rFonts w:hint="eastAsia" w:ascii="宋体" w:eastAsia="宋体"/>
              <w:sz w:val="28"/>
              <w:szCs w:val="28"/>
            </w:rPr>
            <w:t>须知</w:t>
          </w:r>
          <w:r>
            <w:rPr>
              <w:sz w:val="28"/>
              <w:szCs w:val="28"/>
            </w:rPr>
            <w:tab/>
          </w:r>
          <w:r>
            <w:rPr>
              <w:sz w:val="28"/>
              <w:szCs w:val="28"/>
            </w:rPr>
            <w:fldChar w:fldCharType="begin"/>
          </w:r>
          <w:r>
            <w:rPr>
              <w:sz w:val="28"/>
              <w:szCs w:val="28"/>
            </w:rPr>
            <w:instrText xml:space="preserve"> PAGEREF _Toc1826 \h </w:instrText>
          </w:r>
          <w:r>
            <w:rPr>
              <w:sz w:val="28"/>
              <w:szCs w:val="28"/>
            </w:rPr>
            <w:fldChar w:fldCharType="separate"/>
          </w:r>
          <w:r>
            <w:rPr>
              <w:sz w:val="28"/>
              <w:szCs w:val="28"/>
            </w:rPr>
            <w:t>2</w:t>
          </w:r>
          <w:r>
            <w:rPr>
              <w:sz w:val="28"/>
              <w:szCs w:val="28"/>
            </w:rPr>
            <w:fldChar w:fldCharType="end"/>
          </w:r>
          <w:r>
            <w:rPr>
              <w:sz w:val="28"/>
              <w:szCs w:val="48"/>
            </w:rPr>
            <w:fldChar w:fldCharType="end"/>
          </w:r>
        </w:p>
        <w:p>
          <w:pPr>
            <w:pStyle w:val="23"/>
            <w:tabs>
              <w:tab w:val="right" w:leader="dot" w:pos="9333"/>
            </w:tabs>
            <w:rPr>
              <w:sz w:val="28"/>
              <w:szCs w:val="28"/>
            </w:rPr>
          </w:pPr>
          <w:r>
            <w:rPr>
              <w:sz w:val="28"/>
              <w:szCs w:val="48"/>
            </w:rPr>
            <w:fldChar w:fldCharType="begin"/>
          </w:r>
          <w:r>
            <w:rPr>
              <w:sz w:val="28"/>
              <w:szCs w:val="48"/>
            </w:rPr>
            <w:instrText xml:space="preserve"> HYPERLINK \l _Toc10238 </w:instrText>
          </w:r>
          <w:r>
            <w:rPr>
              <w:sz w:val="28"/>
              <w:szCs w:val="48"/>
            </w:rPr>
            <w:fldChar w:fldCharType="separate"/>
          </w:r>
          <w:r>
            <w:rPr>
              <w:rFonts w:hint="eastAsia"/>
              <w:sz w:val="28"/>
              <w:szCs w:val="28"/>
              <w:lang w:val="en-US" w:eastAsia="zh-CN"/>
            </w:rPr>
            <w:t>第二章 技术要求</w:t>
          </w:r>
          <w:r>
            <w:rPr>
              <w:rFonts w:hint="eastAsia"/>
              <w:sz w:val="28"/>
              <w:szCs w:val="28"/>
              <w:lang w:val="en-US" w:eastAsia="zh-Hans"/>
            </w:rPr>
            <w:t>及商务要求</w:t>
          </w:r>
          <w:r>
            <w:rPr>
              <w:sz w:val="28"/>
              <w:szCs w:val="28"/>
            </w:rPr>
            <w:tab/>
          </w:r>
          <w:r>
            <w:rPr>
              <w:sz w:val="28"/>
              <w:szCs w:val="28"/>
            </w:rPr>
            <w:fldChar w:fldCharType="begin"/>
          </w:r>
          <w:r>
            <w:rPr>
              <w:sz w:val="28"/>
              <w:szCs w:val="28"/>
            </w:rPr>
            <w:instrText xml:space="preserve"> PAGEREF _Toc10238 \h </w:instrText>
          </w:r>
          <w:r>
            <w:rPr>
              <w:sz w:val="28"/>
              <w:szCs w:val="28"/>
            </w:rPr>
            <w:fldChar w:fldCharType="separate"/>
          </w:r>
          <w:r>
            <w:rPr>
              <w:sz w:val="28"/>
              <w:szCs w:val="28"/>
            </w:rPr>
            <w:t>9</w:t>
          </w:r>
          <w:r>
            <w:rPr>
              <w:sz w:val="28"/>
              <w:szCs w:val="28"/>
            </w:rPr>
            <w:fldChar w:fldCharType="end"/>
          </w:r>
          <w:r>
            <w:rPr>
              <w:sz w:val="28"/>
              <w:szCs w:val="48"/>
            </w:rPr>
            <w:fldChar w:fldCharType="end"/>
          </w:r>
        </w:p>
        <w:p>
          <w:pPr>
            <w:pStyle w:val="23"/>
            <w:tabs>
              <w:tab w:val="right" w:leader="dot" w:pos="9333"/>
            </w:tabs>
            <w:rPr>
              <w:sz w:val="28"/>
              <w:szCs w:val="28"/>
            </w:rPr>
          </w:pPr>
          <w:r>
            <w:rPr>
              <w:sz w:val="28"/>
              <w:szCs w:val="48"/>
            </w:rPr>
            <w:fldChar w:fldCharType="begin"/>
          </w:r>
          <w:r>
            <w:rPr>
              <w:sz w:val="28"/>
              <w:szCs w:val="48"/>
            </w:rPr>
            <w:instrText xml:space="preserve"> HYPERLINK \l _Toc32412 </w:instrText>
          </w:r>
          <w:r>
            <w:rPr>
              <w:sz w:val="28"/>
              <w:szCs w:val="48"/>
            </w:rPr>
            <w:fldChar w:fldCharType="separate"/>
          </w:r>
          <w:r>
            <w:rPr>
              <w:rFonts w:hint="eastAsia" w:ascii="宋体" w:eastAsia="宋体"/>
              <w:sz w:val="28"/>
              <w:szCs w:val="28"/>
            </w:rPr>
            <w:t>第</w:t>
          </w:r>
          <w:r>
            <w:rPr>
              <w:rFonts w:hint="eastAsia" w:ascii="宋体" w:eastAsia="宋体"/>
              <w:sz w:val="28"/>
              <w:szCs w:val="28"/>
              <w:lang w:val="en-US" w:eastAsia="zh-CN"/>
            </w:rPr>
            <w:t>三</w:t>
          </w:r>
          <w:r>
            <w:rPr>
              <w:rFonts w:hint="eastAsia" w:ascii="宋体" w:eastAsia="宋体"/>
              <w:sz w:val="28"/>
              <w:szCs w:val="28"/>
            </w:rPr>
            <w:t xml:space="preserve">章 </w:t>
          </w:r>
          <w:r>
            <w:rPr>
              <w:rFonts w:hint="eastAsia" w:ascii="宋体" w:eastAsia="宋体"/>
              <w:sz w:val="28"/>
              <w:szCs w:val="28"/>
              <w:lang w:eastAsia="zh-CN"/>
            </w:rPr>
            <w:t>响应文件</w:t>
          </w:r>
          <w:r>
            <w:rPr>
              <w:rFonts w:hint="eastAsia" w:ascii="宋体" w:eastAsia="宋体"/>
              <w:sz w:val="28"/>
              <w:szCs w:val="28"/>
            </w:rPr>
            <w:t>及附件</w:t>
          </w:r>
          <w:r>
            <w:rPr>
              <w:sz w:val="28"/>
              <w:szCs w:val="28"/>
            </w:rPr>
            <w:tab/>
          </w:r>
          <w:r>
            <w:rPr>
              <w:sz w:val="28"/>
              <w:szCs w:val="28"/>
            </w:rPr>
            <w:fldChar w:fldCharType="begin"/>
          </w:r>
          <w:r>
            <w:rPr>
              <w:sz w:val="28"/>
              <w:szCs w:val="28"/>
            </w:rPr>
            <w:instrText xml:space="preserve"> PAGEREF _Toc32412 \h </w:instrText>
          </w:r>
          <w:r>
            <w:rPr>
              <w:sz w:val="28"/>
              <w:szCs w:val="28"/>
            </w:rPr>
            <w:fldChar w:fldCharType="separate"/>
          </w:r>
          <w:r>
            <w:rPr>
              <w:sz w:val="28"/>
              <w:szCs w:val="28"/>
            </w:rPr>
            <w:t>11</w:t>
          </w:r>
          <w:r>
            <w:rPr>
              <w:sz w:val="28"/>
              <w:szCs w:val="28"/>
            </w:rPr>
            <w:fldChar w:fldCharType="end"/>
          </w:r>
          <w:r>
            <w:rPr>
              <w:sz w:val="28"/>
              <w:szCs w:val="48"/>
            </w:rPr>
            <w:fldChar w:fldCharType="end"/>
          </w:r>
        </w:p>
        <w:p>
          <w:pPr>
            <w:pStyle w:val="23"/>
            <w:tabs>
              <w:tab w:val="right" w:leader="dot" w:pos="9333"/>
            </w:tabs>
          </w:pPr>
          <w:r>
            <w:rPr>
              <w:sz w:val="28"/>
              <w:szCs w:val="48"/>
            </w:rPr>
            <w:fldChar w:fldCharType="begin"/>
          </w:r>
          <w:r>
            <w:rPr>
              <w:sz w:val="28"/>
              <w:szCs w:val="48"/>
            </w:rPr>
            <w:instrText xml:space="preserve"> HYPERLINK \l _Toc31327 </w:instrText>
          </w:r>
          <w:r>
            <w:rPr>
              <w:sz w:val="28"/>
              <w:szCs w:val="48"/>
            </w:rPr>
            <w:fldChar w:fldCharType="separate"/>
          </w:r>
          <w:r>
            <w:rPr>
              <w:rFonts w:hint="eastAsia" w:ascii="宋体" w:eastAsia="宋体"/>
              <w:sz w:val="28"/>
              <w:szCs w:val="28"/>
            </w:rPr>
            <w:t>第</w:t>
          </w:r>
          <w:r>
            <w:rPr>
              <w:rFonts w:hint="eastAsia" w:ascii="宋体" w:eastAsia="宋体"/>
              <w:sz w:val="28"/>
              <w:szCs w:val="28"/>
              <w:lang w:val="en-US" w:eastAsia="zh-CN"/>
            </w:rPr>
            <w:t>四</w:t>
          </w:r>
          <w:r>
            <w:rPr>
              <w:rFonts w:hint="eastAsia" w:ascii="宋体" w:eastAsia="宋体"/>
              <w:sz w:val="28"/>
              <w:szCs w:val="28"/>
            </w:rPr>
            <w:t xml:space="preserve">章 </w:t>
          </w:r>
          <w:r>
            <w:rPr>
              <w:rFonts w:hint="eastAsia" w:ascii="宋体" w:eastAsia="宋体"/>
              <w:sz w:val="28"/>
              <w:szCs w:val="28"/>
              <w:lang w:val="en-US" w:eastAsia="zh-CN"/>
            </w:rPr>
            <w:t>评审办法</w:t>
          </w:r>
          <w:r>
            <w:rPr>
              <w:sz w:val="28"/>
              <w:szCs w:val="28"/>
            </w:rPr>
            <w:tab/>
          </w:r>
          <w:r>
            <w:rPr>
              <w:sz w:val="28"/>
              <w:szCs w:val="28"/>
            </w:rPr>
            <w:fldChar w:fldCharType="begin"/>
          </w:r>
          <w:r>
            <w:rPr>
              <w:sz w:val="28"/>
              <w:szCs w:val="28"/>
            </w:rPr>
            <w:instrText xml:space="preserve"> PAGEREF _Toc31327 \h </w:instrText>
          </w:r>
          <w:r>
            <w:rPr>
              <w:sz w:val="28"/>
              <w:szCs w:val="28"/>
            </w:rPr>
            <w:fldChar w:fldCharType="separate"/>
          </w:r>
          <w:r>
            <w:rPr>
              <w:sz w:val="28"/>
              <w:szCs w:val="28"/>
            </w:rPr>
            <w:t>20</w:t>
          </w:r>
          <w:r>
            <w:rPr>
              <w:sz w:val="28"/>
              <w:szCs w:val="28"/>
            </w:rPr>
            <w:fldChar w:fldCharType="end"/>
          </w:r>
          <w:r>
            <w:rPr>
              <w:sz w:val="28"/>
              <w:szCs w:val="48"/>
            </w:rPr>
            <w:fldChar w:fldCharType="end"/>
          </w:r>
        </w:p>
        <w:p>
          <w:pPr>
            <w:pStyle w:val="23"/>
            <w:tabs>
              <w:tab w:val="right" w:leader="dot" w:pos="9333"/>
            </w:tabs>
            <w:spacing w:line="360" w:lineRule="auto"/>
            <w:rPr>
              <w:sz w:val="32"/>
              <w:szCs w:val="32"/>
            </w:rPr>
          </w:pPr>
          <w:r>
            <w:rPr>
              <w:szCs w:val="32"/>
            </w:rPr>
            <w:fldChar w:fldCharType="end"/>
          </w:r>
        </w:p>
      </w:sdtContent>
    </w:sdt>
    <w:p>
      <w:pPr>
        <w:pStyle w:val="24"/>
        <w:tabs>
          <w:tab w:val="right" w:leader="dot" w:pos="9333"/>
        </w:tabs>
        <w:spacing w:line="360" w:lineRule="auto"/>
        <w:rPr>
          <w:sz w:val="32"/>
          <w:szCs w:val="32"/>
        </w:rPr>
      </w:pPr>
    </w:p>
    <w:p>
      <w:pPr>
        <w:pStyle w:val="10"/>
      </w:pPr>
      <w:r>
        <w:rPr>
          <w:b/>
          <w:sz w:val="32"/>
          <w:szCs w:val="32"/>
        </w:rPr>
        <w:fldChar w:fldCharType="end"/>
      </w:r>
    </w:p>
    <w:p>
      <w:pPr>
        <w:pStyle w:val="25"/>
        <w:rPr>
          <w:rFonts w:hint="eastAsia" w:ascii="宋体" w:eastAsia="宋体"/>
        </w:rPr>
      </w:pPr>
      <w:bookmarkStart w:id="46" w:name="_Toc21278"/>
      <w:bookmarkStart w:id="47" w:name="_Toc1826"/>
      <w:bookmarkStart w:id="48" w:name="_Toc33779479"/>
      <w:r>
        <w:rPr>
          <w:rFonts w:hint="eastAsia" w:ascii="宋体" w:eastAsia="宋体"/>
        </w:rPr>
        <w:t xml:space="preserve">第一章  </w:t>
      </w:r>
      <w:r>
        <w:rPr>
          <w:rFonts w:hint="eastAsia" w:ascii="宋体" w:eastAsia="宋体"/>
          <w:lang w:eastAsia="zh-CN"/>
        </w:rPr>
        <w:t>竞争性磋商</w:t>
      </w:r>
      <w:r>
        <w:rPr>
          <w:rFonts w:hint="eastAsia" w:ascii="宋体" w:eastAsia="宋体"/>
        </w:rPr>
        <w:t>须知</w:t>
      </w:r>
      <w:bookmarkEnd w:id="38"/>
      <w:bookmarkEnd w:id="39"/>
      <w:bookmarkEnd w:id="40"/>
      <w:bookmarkEnd w:id="41"/>
      <w:bookmarkEnd w:id="42"/>
      <w:bookmarkEnd w:id="43"/>
      <w:bookmarkEnd w:id="44"/>
      <w:bookmarkEnd w:id="45"/>
      <w:bookmarkEnd w:id="46"/>
      <w:bookmarkEnd w:id="47"/>
      <w:bookmarkEnd w:id="48"/>
    </w:p>
    <w:p>
      <w:pPr>
        <w:adjustRightInd w:val="0"/>
        <w:snapToGrid w:val="0"/>
        <w:spacing w:line="360" w:lineRule="auto"/>
        <w:jc w:val="both"/>
        <w:outlineLvl w:val="1"/>
        <w:rPr>
          <w:rFonts w:hint="eastAsia" w:ascii="宋体" w:hAnsi="宋体"/>
          <w:b/>
          <w:sz w:val="24"/>
        </w:rPr>
      </w:pPr>
      <w:bookmarkStart w:id="49" w:name="_Toc16924"/>
      <w:r>
        <w:rPr>
          <w:rFonts w:hint="eastAsia" w:ascii="宋体" w:hAnsi="宋体"/>
          <w:b/>
          <w:sz w:val="24"/>
          <w:lang w:eastAsia="zh-CN"/>
        </w:rPr>
        <w:t>竞争性磋商</w:t>
      </w:r>
      <w:r>
        <w:rPr>
          <w:rFonts w:hint="eastAsia" w:ascii="宋体" w:hAnsi="宋体"/>
          <w:b/>
          <w:sz w:val="24"/>
        </w:rPr>
        <w:t>须知资料表</w:t>
      </w:r>
      <w:bookmarkEnd w:id="49"/>
    </w:p>
    <w:tbl>
      <w:tblPr>
        <w:tblStyle w:val="16"/>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00"/>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FFF"/>
            <w:noWrap w:val="0"/>
            <w:vAlign w:val="center"/>
          </w:tcPr>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项号</w:t>
            </w:r>
          </w:p>
        </w:tc>
        <w:tc>
          <w:tcPr>
            <w:tcW w:w="8855" w:type="dxa"/>
            <w:gridSpan w:val="2"/>
            <w:shd w:val="clear" w:color="auto" w:fill="FFFFFF"/>
            <w:noWrap w:val="0"/>
            <w:vAlign w:val="center"/>
          </w:tcPr>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项  目  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DFA"/>
            <w:noWrap w:val="0"/>
            <w:vAlign w:val="center"/>
          </w:tcPr>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1</w:t>
            </w:r>
          </w:p>
        </w:tc>
        <w:tc>
          <w:tcPr>
            <w:tcW w:w="1800" w:type="dxa"/>
            <w:shd w:val="clear" w:color="auto" w:fill="FFFDFA"/>
            <w:noWrap w:val="0"/>
            <w:vAlign w:val="center"/>
          </w:tcPr>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项目</w:t>
            </w:r>
            <w:r>
              <w:rPr>
                <w:rFonts w:hint="eastAsia" w:ascii="宋体" w:hAnsi="宋体"/>
                <w:color w:val="000000"/>
                <w:sz w:val="21"/>
                <w:szCs w:val="21"/>
                <w:highlight w:val="none"/>
              </w:rPr>
              <w:t>说明及</w:t>
            </w:r>
          </w:p>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要求</w:t>
            </w:r>
          </w:p>
        </w:tc>
        <w:tc>
          <w:tcPr>
            <w:tcW w:w="7055" w:type="dxa"/>
            <w:shd w:val="clear" w:color="auto" w:fill="FFFDFA"/>
            <w:noWrap w:val="0"/>
            <w:vAlign w:val="center"/>
          </w:tcPr>
          <w:p>
            <w:pPr>
              <w:spacing w:line="240" w:lineRule="auto"/>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项目名称：</w:t>
            </w:r>
            <w:r>
              <w:rPr>
                <w:rFonts w:hint="eastAsia" w:ascii="宋体" w:hAnsi="宋体" w:cs="Times New Roman"/>
                <w:color w:val="000000"/>
                <w:sz w:val="21"/>
                <w:szCs w:val="21"/>
                <w:highlight w:val="none"/>
                <w:lang w:val="en-US" w:eastAsia="zh-CN"/>
              </w:rPr>
              <w:t>观山湖区现代制造产业园区域社会稳定风险评估</w:t>
            </w:r>
            <w:r>
              <w:rPr>
                <w:rFonts w:hint="eastAsia" w:ascii="宋体" w:hAnsi="宋体" w:eastAsia="宋体" w:cs="Times New Roman"/>
                <w:color w:val="000000"/>
                <w:sz w:val="21"/>
                <w:szCs w:val="21"/>
                <w:highlight w:val="none"/>
                <w:lang w:val="en-US" w:eastAsia="zh-CN"/>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ind w:right="0"/>
              <w:jc w:val="left"/>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竞争性磋商内容</w:t>
            </w:r>
            <w:r>
              <w:rPr>
                <w:rFonts w:hint="eastAsia" w:ascii="宋体" w:hAnsi="宋体" w:eastAsia="宋体" w:cs="Times New Roman"/>
                <w:color w:val="000000"/>
                <w:sz w:val="21"/>
                <w:szCs w:val="21"/>
                <w:highlight w:val="none"/>
                <w:lang w:val="en-US" w:eastAsia="zh-CN"/>
              </w:rPr>
              <w:t>：对园区未出让区域地块开展社会稳定风险区域评估。</w:t>
            </w:r>
          </w:p>
          <w:p>
            <w:pPr>
              <w:spacing w:line="240" w:lineRule="auto"/>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工作范围</w:t>
            </w:r>
            <w:r>
              <w:rPr>
                <w:rFonts w:hint="eastAsia" w:ascii="宋体" w:hAnsi="宋体" w:eastAsia="宋体" w:cs="Times New Roman"/>
                <w:color w:val="000000"/>
                <w:sz w:val="21"/>
                <w:szCs w:val="21"/>
                <w:highlight w:val="none"/>
                <w:lang w:val="en-US" w:eastAsia="zh-CN"/>
              </w:rPr>
              <w:t>：组织编制社会稳定风险评估</w:t>
            </w:r>
            <w:r>
              <w:rPr>
                <w:rFonts w:hint="eastAsia" w:ascii="宋体" w:hAnsi="宋体" w:cs="Times New Roman"/>
                <w:color w:val="000000"/>
                <w:sz w:val="21"/>
                <w:szCs w:val="21"/>
                <w:highlight w:val="none"/>
                <w:lang w:val="en-US" w:eastAsia="zh-CN"/>
              </w:rPr>
              <w:t>报告</w:t>
            </w:r>
            <w:r>
              <w:rPr>
                <w:rFonts w:hint="eastAsia" w:ascii="宋体" w:hAnsi="宋体" w:eastAsia="宋体" w:cs="Times New Roman"/>
                <w:color w:val="000000"/>
                <w:sz w:val="21"/>
                <w:szCs w:val="21"/>
                <w:highlight w:val="none"/>
                <w:lang w:val="en-US" w:eastAsia="zh-CN"/>
              </w:rPr>
              <w:t>，对园区未出让区域地块的社会稳定因素开展系统调查，广泛征询群众意见，科学预测、分析和评估，查找并列出风险点、风险发生的可能性及影响程度，提出防范和化解风险的方案措施，获得采购人同意</w:t>
            </w:r>
            <w:r>
              <w:rPr>
                <w:rFonts w:hint="eastAsia" w:ascii="宋体" w:hAnsi="宋体" w:cs="Times New Roman"/>
                <w:color w:val="000000"/>
                <w:sz w:val="21"/>
                <w:szCs w:val="21"/>
                <w:highlight w:val="none"/>
                <w:lang w:val="en-US" w:eastAsia="zh-CN"/>
              </w:rPr>
              <w:t>。</w:t>
            </w:r>
          </w:p>
          <w:p>
            <w:pPr>
              <w:spacing w:line="240" w:lineRule="auto"/>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验收标准：</w:t>
            </w:r>
            <w:r>
              <w:rPr>
                <w:rFonts w:hint="eastAsia" w:ascii="宋体" w:hAnsi="宋体" w:eastAsia="宋体" w:cs="Times New Roman"/>
                <w:color w:val="000000"/>
                <w:sz w:val="21"/>
                <w:szCs w:val="21"/>
                <w:highlight w:val="none"/>
                <w:lang w:val="en-US" w:eastAsia="zh-CN"/>
              </w:rPr>
              <w:t>编制成果应符合国家发展改革委办公厅《关于印发重大固定资产投资项目社会稳定风险分析篇章和评估报告编制大纲（试行）的通知》（发改办投资[2013]428 号）、《贵州省重大行政决策程序实施办法》（贵州省人民政府令第197号）及国家、地方相关规范，本次编制服务所有成果内容及深度应严格符合相关法律、法规、标准和技术规范的要求，</w:t>
            </w:r>
            <w:r>
              <w:rPr>
                <w:rFonts w:hint="eastAsia" w:ascii="宋体" w:hAnsi="宋体" w:cs="Times New Roman"/>
                <w:color w:val="000000"/>
                <w:sz w:val="21"/>
                <w:szCs w:val="21"/>
                <w:highlight w:val="none"/>
                <w:lang w:val="en-US" w:eastAsia="zh-CN"/>
              </w:rPr>
              <w:t>并通过政法委备案。</w:t>
            </w:r>
          </w:p>
          <w:p>
            <w:pPr>
              <w:spacing w:line="240" w:lineRule="auto"/>
              <w:rPr>
                <w:rFonts w:hint="default"/>
                <w:color w:val="000000"/>
                <w:lang w:val="en-US"/>
              </w:rPr>
            </w:pPr>
            <w:r>
              <w:rPr>
                <w:rFonts w:hint="eastAsia" w:ascii="宋体" w:hAnsi="宋体" w:eastAsia="宋体" w:cs="Times New Roman"/>
                <w:b/>
                <w:bCs/>
                <w:color w:val="000000"/>
                <w:sz w:val="21"/>
                <w:szCs w:val="21"/>
                <w:highlight w:val="none"/>
                <w:lang w:val="en-US" w:eastAsia="zh-CN"/>
              </w:rPr>
              <w:t>服务期：</w:t>
            </w:r>
            <w:r>
              <w:rPr>
                <w:rFonts w:hint="eastAsia" w:ascii="宋体" w:hAnsi="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val="en-US" w:eastAsia="zh-CN"/>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FFF"/>
            <w:noWrap w:val="0"/>
            <w:vAlign w:val="center"/>
          </w:tcPr>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2</w:t>
            </w:r>
          </w:p>
        </w:tc>
        <w:tc>
          <w:tcPr>
            <w:tcW w:w="1800" w:type="dxa"/>
            <w:shd w:val="clear" w:color="auto" w:fill="FFFFFF"/>
            <w:noWrap w:val="0"/>
            <w:vAlign w:val="center"/>
          </w:tcPr>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lang w:eastAsia="zh-CN"/>
              </w:rPr>
              <w:t>竞争性磋商</w:t>
            </w:r>
            <w:r>
              <w:rPr>
                <w:rFonts w:hint="eastAsia" w:ascii="宋体" w:hAnsi="宋体"/>
                <w:color w:val="000000"/>
                <w:sz w:val="21"/>
                <w:szCs w:val="21"/>
                <w:highlight w:val="none"/>
              </w:rPr>
              <w:t>时间表</w:t>
            </w:r>
          </w:p>
        </w:tc>
        <w:tc>
          <w:tcPr>
            <w:tcW w:w="7055" w:type="dxa"/>
            <w:shd w:val="clear" w:color="auto" w:fill="FFFFFF"/>
            <w:noWrap w:val="0"/>
            <w:vAlign w:val="center"/>
          </w:tcPr>
          <w:p>
            <w:pPr>
              <w:spacing w:line="240" w:lineRule="auto"/>
              <w:rPr>
                <w:rFonts w:hint="eastAsia" w:ascii="宋体" w:hAnsi="宋体"/>
                <w:color w:val="000000"/>
                <w:sz w:val="21"/>
                <w:szCs w:val="21"/>
                <w:highlight w:val="none"/>
              </w:rPr>
            </w:pPr>
            <w:r>
              <w:rPr>
                <w:rFonts w:hint="eastAsia" w:ascii="宋体" w:hAnsi="宋体" w:eastAsia="宋体" w:cs="Times New Roman"/>
                <w:b/>
                <w:color w:val="000000"/>
                <w:sz w:val="21"/>
                <w:szCs w:val="21"/>
                <w:highlight w:val="none"/>
                <w:lang w:eastAsia="zh-CN"/>
              </w:rPr>
              <w:t>答疑时间</w:t>
            </w:r>
            <w:r>
              <w:rPr>
                <w:rFonts w:hint="eastAsia" w:ascii="宋体" w:hAnsi="宋体"/>
                <w:color w:val="000000"/>
                <w:sz w:val="21"/>
                <w:szCs w:val="21"/>
                <w:highlight w:val="none"/>
              </w:rPr>
              <w:t>：</w:t>
            </w:r>
            <w:r>
              <w:rPr>
                <w:rFonts w:hint="eastAsia" w:ascii="宋体" w:hAnsi="宋体"/>
                <w:color w:val="000000"/>
                <w:sz w:val="21"/>
                <w:szCs w:val="21"/>
                <w:highlight w:val="none"/>
                <w:u w:val="single"/>
              </w:rPr>
              <w:t>202</w:t>
            </w:r>
            <w:r>
              <w:rPr>
                <w:rFonts w:hint="eastAsia" w:ascii="宋体" w:hAnsi="宋体"/>
                <w:color w:val="000000"/>
                <w:sz w:val="21"/>
                <w:szCs w:val="21"/>
                <w:highlight w:val="none"/>
                <w:u w:val="single"/>
                <w:lang w:val="en-US" w:eastAsia="zh-CN"/>
              </w:rPr>
              <w:t>2</w:t>
            </w:r>
            <w:r>
              <w:rPr>
                <w:rFonts w:hint="eastAsia" w:ascii="宋体" w:hAnsi="宋体"/>
                <w:color w:val="000000"/>
                <w:sz w:val="21"/>
                <w:szCs w:val="21"/>
                <w:highlight w:val="none"/>
              </w:rPr>
              <w:t>年</w:t>
            </w:r>
            <w:r>
              <w:rPr>
                <w:rFonts w:hint="eastAsia" w:ascii="宋体" w:hAnsi="宋体"/>
                <w:color w:val="000000"/>
                <w:sz w:val="21"/>
                <w:szCs w:val="21"/>
                <w:highlight w:val="none"/>
                <w:u w:val="single"/>
                <w:lang w:val="en-US" w:eastAsia="zh-CN"/>
              </w:rPr>
              <w:t xml:space="preserve"> 12</w:t>
            </w:r>
            <w:r>
              <w:rPr>
                <w:rFonts w:hint="eastAsia"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u w:val="single"/>
                <w:lang w:val="en-US" w:eastAsia="zh-CN"/>
              </w:rPr>
              <w:t xml:space="preserve">1 </w:t>
            </w:r>
            <w:r>
              <w:rPr>
                <w:rFonts w:hint="eastAsia" w:ascii="宋体" w:hAnsi="宋体"/>
                <w:color w:val="000000"/>
                <w:sz w:val="21"/>
                <w:szCs w:val="21"/>
                <w:highlight w:val="none"/>
              </w:rPr>
              <w:t>日</w:t>
            </w:r>
            <w:r>
              <w:rPr>
                <w:rFonts w:hint="eastAsia" w:ascii="宋体" w:hAnsi="宋体"/>
                <w:color w:val="000000"/>
                <w:sz w:val="21"/>
                <w:szCs w:val="21"/>
                <w:highlight w:val="none"/>
                <w:lang w:val="en-US" w:eastAsia="zh-CN"/>
              </w:rPr>
              <w:t>12</w:t>
            </w:r>
            <w:r>
              <w:rPr>
                <w:rFonts w:hint="eastAsia" w:ascii="宋体" w:hAnsi="宋体"/>
                <w:color w:val="000000"/>
                <w:sz w:val="21"/>
                <w:szCs w:val="21"/>
                <w:highlight w:val="none"/>
              </w:rPr>
              <w:t>时00分前（书面答疑）</w:t>
            </w:r>
          </w:p>
          <w:p>
            <w:pPr>
              <w:spacing w:line="240" w:lineRule="auto"/>
              <w:rPr>
                <w:rFonts w:hint="eastAsia" w:ascii="宋体" w:hAnsi="宋体"/>
                <w:color w:val="000000"/>
                <w:sz w:val="21"/>
                <w:szCs w:val="21"/>
                <w:highlight w:val="none"/>
              </w:rPr>
            </w:pPr>
            <w:r>
              <w:rPr>
                <w:rFonts w:hint="eastAsia" w:ascii="宋体" w:hAnsi="宋体" w:eastAsia="宋体" w:cs="Times New Roman"/>
                <w:b/>
                <w:color w:val="000000"/>
                <w:sz w:val="21"/>
                <w:szCs w:val="21"/>
                <w:highlight w:val="none"/>
                <w:lang w:val="en-US" w:eastAsia="zh-CN"/>
              </w:rPr>
              <w:t>响应</w:t>
            </w:r>
            <w:r>
              <w:rPr>
                <w:rFonts w:hint="eastAsia" w:ascii="宋体" w:hAnsi="宋体" w:eastAsia="宋体" w:cs="Times New Roman"/>
                <w:b/>
                <w:color w:val="000000"/>
                <w:sz w:val="21"/>
                <w:szCs w:val="21"/>
                <w:highlight w:val="none"/>
                <w:lang w:eastAsia="zh-CN"/>
              </w:rPr>
              <w:t>文件递交截止时间</w:t>
            </w:r>
            <w:r>
              <w:rPr>
                <w:rFonts w:hint="eastAsia" w:ascii="宋体" w:hAnsi="宋体" w:eastAsia="宋体" w:cs="Times New Roman"/>
                <w:b/>
                <w:color w:val="000000"/>
                <w:sz w:val="21"/>
                <w:szCs w:val="21"/>
                <w:highlight w:val="none"/>
                <w:lang w:val="en-US" w:eastAsia="zh-CN"/>
              </w:rPr>
              <w:t>:</w:t>
            </w:r>
            <w:r>
              <w:rPr>
                <w:rFonts w:hint="eastAsia" w:ascii="宋体" w:hAnsi="宋体"/>
                <w:color w:val="000000"/>
                <w:sz w:val="21"/>
                <w:szCs w:val="21"/>
                <w:highlight w:val="none"/>
                <w:u w:val="single"/>
              </w:rPr>
              <w:t>202</w:t>
            </w:r>
            <w:r>
              <w:rPr>
                <w:rFonts w:hint="eastAsia" w:ascii="宋体" w:hAnsi="宋体"/>
                <w:color w:val="000000"/>
                <w:sz w:val="21"/>
                <w:szCs w:val="21"/>
                <w:highlight w:val="none"/>
                <w:u w:val="single"/>
                <w:lang w:val="en-US" w:eastAsia="zh-CN"/>
              </w:rPr>
              <w:t>2</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年</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u w:val="single"/>
                <w:lang w:val="en-US" w:eastAsia="zh-CN"/>
              </w:rPr>
              <w:t>12</w:t>
            </w:r>
            <w:r>
              <w:rPr>
                <w:rFonts w:hint="eastAsia"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u w:val="single"/>
                <w:lang w:val="en-US" w:eastAsia="zh-CN"/>
              </w:rPr>
              <w:t>7</w:t>
            </w:r>
            <w:r>
              <w:rPr>
                <w:rFonts w:hint="eastAsia" w:ascii="宋体" w:hAnsi="宋体"/>
                <w:color w:val="000000"/>
                <w:sz w:val="21"/>
                <w:szCs w:val="21"/>
                <w:highlight w:val="none"/>
              </w:rPr>
              <w:t>日</w:t>
            </w:r>
            <w:r>
              <w:rPr>
                <w:rFonts w:hint="eastAsia" w:ascii="宋体" w:hAnsi="宋体"/>
                <w:color w:val="000000"/>
                <w:sz w:val="21"/>
                <w:szCs w:val="21"/>
                <w:highlight w:val="none"/>
                <w:u w:val="single"/>
                <w:lang w:val="en-US" w:eastAsia="zh-CN"/>
              </w:rPr>
              <w:t>10</w:t>
            </w:r>
            <w:r>
              <w:rPr>
                <w:rFonts w:hint="eastAsia" w:ascii="宋体" w:hAnsi="宋体"/>
                <w:color w:val="000000"/>
                <w:sz w:val="21"/>
                <w:szCs w:val="21"/>
                <w:highlight w:val="none"/>
              </w:rPr>
              <w:t>时</w:t>
            </w:r>
            <w:r>
              <w:rPr>
                <w:rFonts w:hint="eastAsia" w:ascii="宋体" w:hAnsi="宋体"/>
                <w:color w:val="000000"/>
                <w:sz w:val="21"/>
                <w:szCs w:val="21"/>
                <w:highlight w:val="none"/>
                <w:u w:val="single"/>
                <w:lang w:val="en-US" w:eastAsia="zh-CN"/>
              </w:rPr>
              <w:t>00</w:t>
            </w:r>
            <w:r>
              <w:rPr>
                <w:rFonts w:hint="eastAsia" w:ascii="宋体" w:hAnsi="宋体"/>
                <w:color w:val="000000"/>
                <w:sz w:val="21"/>
                <w:szCs w:val="21"/>
                <w:highlight w:val="none"/>
              </w:rPr>
              <w:t xml:space="preserve">分 </w:t>
            </w:r>
          </w:p>
          <w:p>
            <w:pPr>
              <w:spacing w:line="240" w:lineRule="auto"/>
              <w:rPr>
                <w:rFonts w:hint="eastAsia" w:ascii="宋体" w:hAnsi="宋体"/>
                <w:color w:val="000000"/>
                <w:sz w:val="21"/>
                <w:szCs w:val="21"/>
                <w:highlight w:val="none"/>
                <w:u w:val="single"/>
              </w:rPr>
            </w:pPr>
            <w:r>
              <w:rPr>
                <w:rFonts w:hint="eastAsia" w:ascii="宋体" w:hAnsi="宋体" w:eastAsia="宋体" w:cs="Times New Roman"/>
                <w:b/>
                <w:color w:val="000000"/>
                <w:sz w:val="21"/>
                <w:szCs w:val="21"/>
                <w:highlight w:val="none"/>
                <w:lang w:val="en-US" w:eastAsia="zh-CN"/>
              </w:rPr>
              <w:t>响应文件递交地址</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观山湖区现代制造业产业发展办公室2012会议室（观山湖区长岭北路55号华夏银行20楼）</w:t>
            </w:r>
          </w:p>
          <w:p>
            <w:pPr>
              <w:spacing w:line="240" w:lineRule="auto"/>
              <w:rPr>
                <w:rFonts w:hint="eastAsia" w:ascii="宋体" w:hAnsi="宋体"/>
                <w:color w:val="000000"/>
                <w:sz w:val="21"/>
                <w:szCs w:val="21"/>
                <w:highlight w:val="none"/>
              </w:rPr>
            </w:pPr>
            <w:r>
              <w:rPr>
                <w:rFonts w:hint="eastAsia" w:ascii="宋体" w:hAnsi="宋体" w:eastAsia="宋体" w:cs="Times New Roman"/>
                <w:b/>
                <w:color w:val="000000"/>
                <w:sz w:val="21"/>
                <w:szCs w:val="21"/>
                <w:highlight w:val="none"/>
                <w:lang w:val="en-US" w:eastAsia="zh-CN"/>
              </w:rPr>
              <w:t>竞争性磋商时间</w:t>
            </w:r>
            <w:r>
              <w:rPr>
                <w:rFonts w:hint="eastAsia" w:ascii="宋体" w:hAnsi="宋体"/>
                <w:color w:val="000000"/>
                <w:sz w:val="21"/>
                <w:szCs w:val="21"/>
                <w:highlight w:val="none"/>
              </w:rPr>
              <w:t>：</w:t>
            </w:r>
            <w:r>
              <w:rPr>
                <w:rFonts w:hint="eastAsia" w:ascii="宋体" w:hAnsi="宋体"/>
                <w:color w:val="000000"/>
                <w:sz w:val="21"/>
                <w:szCs w:val="21"/>
                <w:highlight w:val="none"/>
                <w:u w:val="single"/>
              </w:rPr>
              <w:t>202</w:t>
            </w:r>
            <w:r>
              <w:rPr>
                <w:rFonts w:hint="eastAsia" w:ascii="宋体" w:hAnsi="宋体"/>
                <w:color w:val="000000"/>
                <w:sz w:val="21"/>
                <w:szCs w:val="21"/>
                <w:highlight w:val="none"/>
                <w:u w:val="single"/>
                <w:lang w:val="en-US" w:eastAsia="zh-CN"/>
              </w:rPr>
              <w:t>2</w:t>
            </w:r>
            <w:r>
              <w:rPr>
                <w:rFonts w:hint="eastAsia" w:ascii="宋体" w:hAnsi="宋体"/>
                <w:color w:val="000000"/>
                <w:sz w:val="21"/>
                <w:szCs w:val="21"/>
                <w:highlight w:val="none"/>
              </w:rPr>
              <w:t>年</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u w:val="single"/>
                <w:lang w:val="en-US" w:eastAsia="zh-CN"/>
              </w:rPr>
              <w:t>12</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u w:val="single"/>
                <w:lang w:val="en-US" w:eastAsia="zh-CN"/>
              </w:rPr>
              <w:t>7</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日</w:t>
            </w:r>
            <w:r>
              <w:rPr>
                <w:rFonts w:hint="eastAsia" w:ascii="宋体" w:hAnsi="宋体"/>
                <w:color w:val="000000"/>
                <w:sz w:val="21"/>
                <w:szCs w:val="21"/>
                <w:highlight w:val="none"/>
                <w:u w:val="single"/>
                <w:lang w:val="en-US" w:eastAsia="zh-CN"/>
              </w:rPr>
              <w:t>10</w:t>
            </w:r>
            <w:r>
              <w:rPr>
                <w:rFonts w:hint="eastAsia" w:ascii="宋体" w:hAnsi="宋体"/>
                <w:color w:val="000000"/>
                <w:sz w:val="21"/>
                <w:szCs w:val="21"/>
                <w:highlight w:val="none"/>
              </w:rPr>
              <w:t>时</w:t>
            </w:r>
            <w:r>
              <w:rPr>
                <w:rFonts w:hint="eastAsia" w:ascii="宋体" w:hAnsi="宋体"/>
                <w:color w:val="000000"/>
                <w:sz w:val="21"/>
                <w:szCs w:val="21"/>
                <w:highlight w:val="none"/>
                <w:u w:val="single"/>
                <w:lang w:val="en-US" w:eastAsia="zh-CN"/>
              </w:rPr>
              <w:t>00</w:t>
            </w:r>
            <w:r>
              <w:rPr>
                <w:rFonts w:hint="eastAsia" w:ascii="宋体" w:hAnsi="宋体"/>
                <w:color w:val="000000"/>
                <w:sz w:val="21"/>
                <w:szCs w:val="21"/>
                <w:highlight w:val="none"/>
              </w:rPr>
              <w:t>分</w:t>
            </w:r>
          </w:p>
          <w:p>
            <w:pPr>
              <w:spacing w:line="240" w:lineRule="auto"/>
              <w:rPr>
                <w:rFonts w:hint="eastAsia" w:ascii="宋体" w:hAnsi="宋体"/>
                <w:color w:val="000000"/>
                <w:sz w:val="21"/>
                <w:szCs w:val="21"/>
                <w:highlight w:val="none"/>
                <w:u w:val="single"/>
              </w:rPr>
            </w:pPr>
            <w:r>
              <w:rPr>
                <w:rFonts w:hint="eastAsia" w:ascii="宋体" w:hAnsi="宋体" w:eastAsia="宋体" w:cs="Times New Roman"/>
                <w:b/>
                <w:color w:val="000000"/>
                <w:sz w:val="21"/>
                <w:szCs w:val="21"/>
                <w:highlight w:val="none"/>
                <w:lang w:val="en-US" w:eastAsia="zh-CN"/>
              </w:rPr>
              <w:t>竞争性磋商地点</w:t>
            </w:r>
            <w:r>
              <w:rPr>
                <w:rFonts w:hint="eastAsia" w:ascii="宋体" w:hAnsi="宋体"/>
                <w:color w:val="000000"/>
                <w:sz w:val="21"/>
                <w:szCs w:val="21"/>
                <w:highlight w:val="none"/>
              </w:rPr>
              <w:t>：</w:t>
            </w:r>
            <w:r>
              <w:rPr>
                <w:rFonts w:hint="eastAsia" w:ascii="宋体" w:hAnsi="宋体"/>
                <w:color w:val="000000"/>
                <w:sz w:val="21"/>
                <w:szCs w:val="21"/>
                <w:highlight w:val="none"/>
                <w:u w:val="single"/>
              </w:rPr>
              <w:t>同</w:t>
            </w:r>
            <w:r>
              <w:rPr>
                <w:rFonts w:hint="eastAsia" w:ascii="宋体" w:hAnsi="宋体"/>
                <w:color w:val="000000"/>
                <w:sz w:val="21"/>
                <w:szCs w:val="21"/>
                <w:highlight w:val="none"/>
                <w:u w:val="single"/>
                <w:lang w:eastAsia="zh-CN"/>
              </w:rPr>
              <w:t>响应文件</w:t>
            </w:r>
            <w:r>
              <w:rPr>
                <w:rFonts w:hint="eastAsia" w:ascii="宋体" w:hAnsi="宋体"/>
                <w:color w:val="000000"/>
                <w:sz w:val="21"/>
                <w:szCs w:val="21"/>
                <w:highlight w:val="none"/>
                <w:u w:val="single"/>
              </w:rPr>
              <w:t>递交地址</w:t>
            </w:r>
          </w:p>
          <w:p>
            <w:pPr>
              <w:spacing w:line="240" w:lineRule="auto"/>
              <w:rPr>
                <w:rFonts w:ascii="宋体" w:hAnsi="宋体"/>
                <w:color w:val="000000"/>
                <w:sz w:val="21"/>
                <w:szCs w:val="21"/>
                <w:highlight w:val="none"/>
              </w:rPr>
            </w:pPr>
            <w:r>
              <w:rPr>
                <w:rFonts w:hint="eastAsia" w:ascii="宋体" w:hAnsi="宋体" w:eastAsia="宋体" w:cs="Times New Roman"/>
                <w:b/>
                <w:color w:val="000000"/>
                <w:sz w:val="21"/>
                <w:szCs w:val="21"/>
                <w:highlight w:val="none"/>
                <w:lang w:val="en-US" w:eastAsia="zh-CN"/>
              </w:rPr>
              <w:t>联系人</w:t>
            </w:r>
            <w:r>
              <w:rPr>
                <w:rFonts w:hint="eastAsia" w:ascii="宋体" w:hAnsi="宋体" w:eastAsia="宋体" w:cs="Times New Roman"/>
                <w:color w:val="000000"/>
                <w:sz w:val="21"/>
                <w:szCs w:val="21"/>
                <w:highlight w:val="none"/>
                <w:lang w:val="en-US" w:eastAsia="zh-CN"/>
              </w:rPr>
              <w:t>：覃亚芝，</w:t>
            </w:r>
            <w:r>
              <w:rPr>
                <w:rFonts w:hint="eastAsia" w:ascii="宋体" w:hAnsi="宋体"/>
                <w:color w:val="000000"/>
                <w:sz w:val="21"/>
                <w:szCs w:val="21"/>
                <w:highlight w:val="none"/>
                <w:lang w:val="en-US" w:eastAsia="zh-CN"/>
              </w:rPr>
              <w:t>17508502262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DFA"/>
            <w:noWrap w:val="0"/>
            <w:vAlign w:val="center"/>
          </w:tcPr>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3</w:t>
            </w:r>
          </w:p>
        </w:tc>
        <w:tc>
          <w:tcPr>
            <w:tcW w:w="1800" w:type="dxa"/>
            <w:shd w:val="clear" w:color="auto" w:fill="FFFDFA"/>
            <w:noWrap w:val="0"/>
            <w:vAlign w:val="center"/>
          </w:tcPr>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响应人</w:t>
            </w:r>
            <w:r>
              <w:rPr>
                <w:rFonts w:hint="eastAsia" w:ascii="宋体" w:hAnsi="宋体"/>
                <w:color w:val="000000"/>
                <w:sz w:val="21"/>
                <w:szCs w:val="21"/>
                <w:highlight w:val="none"/>
              </w:rPr>
              <w:t>资格</w:t>
            </w:r>
          </w:p>
        </w:tc>
        <w:tc>
          <w:tcPr>
            <w:tcW w:w="7055" w:type="dxa"/>
            <w:shd w:val="clear" w:color="auto" w:fill="FFFDFA"/>
            <w:noWrap w:val="0"/>
            <w:vAlign w:val="center"/>
          </w:tcPr>
          <w:p>
            <w:pPr>
              <w:spacing w:line="240" w:lineRule="auto"/>
              <w:rPr>
                <w:rFonts w:hint="eastAsia"/>
                <w:color w:val="000000"/>
                <w:lang w:val="en-US" w:eastAsia="zh-CN"/>
              </w:rPr>
            </w:pPr>
            <w:r>
              <w:rPr>
                <w:rFonts w:hint="eastAsia"/>
                <w:color w:val="000000"/>
                <w:lang w:val="en-US" w:eastAsia="zh-CN"/>
              </w:rPr>
              <w:t>符合政府采购法第二十二条规定，提供政府采购法实施条例第十七条规定资料。</w:t>
            </w:r>
          </w:p>
          <w:p>
            <w:pPr>
              <w:spacing w:line="240" w:lineRule="auto"/>
              <w:rPr>
                <w:rFonts w:hint="eastAsia"/>
                <w:color w:val="000000"/>
                <w:lang w:val="en-US" w:eastAsia="zh-CN"/>
              </w:rPr>
            </w:pPr>
            <w:r>
              <w:rPr>
                <w:rFonts w:hint="eastAsia"/>
                <w:color w:val="000000"/>
                <w:lang w:val="en-US" w:eastAsia="zh-CN"/>
              </w:rPr>
              <w:t>3.1 具有独立承担民事责任的能力：</w:t>
            </w:r>
          </w:p>
          <w:p>
            <w:pPr>
              <w:spacing w:line="240" w:lineRule="auto"/>
              <w:rPr>
                <w:rFonts w:hint="eastAsia"/>
                <w:color w:val="000000"/>
                <w:lang w:val="en-US" w:eastAsia="zh-CN"/>
              </w:rPr>
            </w:pPr>
            <w:r>
              <w:rPr>
                <w:rFonts w:hint="eastAsia"/>
                <w:color w:val="000000"/>
                <w:lang w:val="en-US" w:eastAsia="zh-CN"/>
              </w:rPr>
              <w:t>具体要求：提供法人或其他组织的营业执照等证明文件，或自然人身份证明；（复印或扫描件须加盖响应人公章）；</w:t>
            </w:r>
          </w:p>
          <w:p>
            <w:pPr>
              <w:spacing w:line="240" w:lineRule="auto"/>
              <w:rPr>
                <w:rFonts w:hint="eastAsia"/>
                <w:color w:val="000000"/>
                <w:lang w:val="en-US" w:eastAsia="zh-CN"/>
              </w:rPr>
            </w:pPr>
            <w:r>
              <w:rPr>
                <w:rFonts w:hint="eastAsia"/>
                <w:color w:val="000000"/>
                <w:lang w:val="en-US" w:eastAsia="zh-CN"/>
              </w:rPr>
              <w:t>3.2 具有良好的商业信誉和健全的财务会计制度：</w:t>
            </w:r>
          </w:p>
          <w:p>
            <w:pPr>
              <w:spacing w:line="240" w:lineRule="auto"/>
              <w:rPr>
                <w:rFonts w:hint="eastAsia"/>
                <w:color w:val="000000"/>
                <w:lang w:val="en-US" w:eastAsia="zh-CN"/>
              </w:rPr>
            </w:pPr>
            <w:r>
              <w:rPr>
                <w:rFonts w:hint="eastAsia"/>
                <w:color w:val="000000"/>
                <w:lang w:val="en-US" w:eastAsia="zh-CN"/>
              </w:rPr>
              <w:t>具体要求：供应商是法人的，提供2021年度经会计师事务所审计的审计报告，或开户许可。部分其他组织和自然人，没有经审计的财务报告，可以提供开户许可。（复印或扫描件须加盖响应人公章）；</w:t>
            </w:r>
          </w:p>
          <w:p>
            <w:pPr>
              <w:spacing w:line="240" w:lineRule="auto"/>
              <w:rPr>
                <w:rFonts w:hint="eastAsia"/>
                <w:color w:val="000000"/>
                <w:lang w:val="en-US" w:eastAsia="zh-CN"/>
              </w:rPr>
            </w:pPr>
            <w:r>
              <w:rPr>
                <w:rFonts w:hint="eastAsia"/>
                <w:color w:val="000000"/>
                <w:lang w:val="en-US" w:eastAsia="zh-CN"/>
              </w:rPr>
              <w:t>3.3 具有履行合同所必需的设备和专业技术能力：</w:t>
            </w:r>
          </w:p>
          <w:p>
            <w:pPr>
              <w:spacing w:line="240" w:lineRule="auto"/>
              <w:rPr>
                <w:rFonts w:hint="eastAsia"/>
                <w:color w:val="000000"/>
                <w:lang w:val="en-US" w:eastAsia="zh-CN"/>
              </w:rPr>
            </w:pPr>
            <w:r>
              <w:rPr>
                <w:rFonts w:hint="eastAsia"/>
                <w:color w:val="000000"/>
                <w:lang w:val="en-US" w:eastAsia="zh-CN"/>
              </w:rPr>
              <w:t>具体要求：提供具备履行合同所必需的设备和专业技术能力的证明材料（承诺函格式自拟）；</w:t>
            </w:r>
          </w:p>
          <w:p>
            <w:pPr>
              <w:spacing w:line="240" w:lineRule="auto"/>
              <w:rPr>
                <w:rFonts w:hint="eastAsia"/>
                <w:color w:val="000000"/>
                <w:lang w:val="en-US" w:eastAsia="zh-CN"/>
              </w:rPr>
            </w:pPr>
            <w:r>
              <w:rPr>
                <w:rFonts w:hint="eastAsia"/>
                <w:color w:val="000000"/>
                <w:lang w:val="en-US" w:eastAsia="zh-CN"/>
              </w:rPr>
              <w:t>3.4 具有依法缴纳税收和社会保障资金的良好记录：</w:t>
            </w:r>
          </w:p>
          <w:p>
            <w:pPr>
              <w:spacing w:line="240" w:lineRule="auto"/>
              <w:rPr>
                <w:rFonts w:hint="eastAsia"/>
                <w:color w:val="000000"/>
                <w:lang w:val="en-US" w:eastAsia="zh-CN"/>
              </w:rPr>
            </w:pPr>
            <w:r>
              <w:rPr>
                <w:rFonts w:hint="eastAsia"/>
                <w:color w:val="000000"/>
                <w:lang w:val="en-US" w:eastAsia="zh-CN"/>
              </w:rPr>
              <w:t>具体要求：提供供应商2022年任意3个月的征税机关出具加盖公章的的完税证明文件或自主电子缴税银行收款凭证；依法缴纳社会保障资金有效凭证指：2022年至今任意3个月的社保部门出具的缴纳完整社会保障资金收据或加盖收款银行专用章的银行收款凭证 （复印件加盖供应商单位公章）；</w:t>
            </w:r>
          </w:p>
          <w:p>
            <w:pPr>
              <w:spacing w:line="240" w:lineRule="auto"/>
              <w:rPr>
                <w:rFonts w:hint="eastAsia"/>
                <w:color w:val="000000"/>
                <w:lang w:val="en-US" w:eastAsia="zh-CN"/>
              </w:rPr>
            </w:pPr>
            <w:r>
              <w:rPr>
                <w:rFonts w:hint="eastAsia"/>
                <w:color w:val="000000"/>
                <w:lang w:val="en-US" w:eastAsia="zh-CN"/>
              </w:rPr>
              <w:t>3.5 参加本次政府采购活动前三年内，在经营活动中没有违法违规记录：</w:t>
            </w:r>
          </w:p>
          <w:p>
            <w:pPr>
              <w:spacing w:line="240" w:lineRule="auto"/>
              <w:rPr>
                <w:rFonts w:hint="eastAsia"/>
                <w:color w:val="000000"/>
                <w:lang w:val="en-US" w:eastAsia="zh-CN"/>
              </w:rPr>
            </w:pPr>
            <w:r>
              <w:rPr>
                <w:rFonts w:hint="eastAsia"/>
                <w:color w:val="000000"/>
                <w:lang w:val="en-US" w:eastAsia="zh-CN"/>
              </w:rPr>
              <w:t>具体要求：提供参加政府采购活动前3年内在经营活动中没有重大违法记录的书面声明（格式文件详见投标文件范本）；</w:t>
            </w:r>
          </w:p>
          <w:p>
            <w:pPr>
              <w:spacing w:line="240" w:lineRule="auto"/>
              <w:rPr>
                <w:rFonts w:hint="eastAsia"/>
                <w:color w:val="000000"/>
                <w:lang w:val="en-US" w:eastAsia="zh-CN"/>
              </w:rPr>
            </w:pPr>
            <w:r>
              <w:rPr>
                <w:rFonts w:hint="eastAsia"/>
                <w:color w:val="000000"/>
                <w:lang w:val="en-US" w:eastAsia="zh-CN"/>
              </w:rPr>
              <w:t>3.6 法律、行政法规规定的其他条件：供应商须承诺：在“信用中国”网站（www.creditchina.gov.cn)、中国政府采购网（www.ccgp.gov.cn)等渠道查询中未被列入失信被执行人、重大税收违法案件当事人名单、政府采购严重违法失信行为记录名单中，如被列入失信被执行人、重大税收违法案件当事人名单、政府采购严重违法失信行为记录名单中的供应商取消投标资格，并承担由此造成的一切法律责任及后果，并提供磋商截止时间前查询的网络截图。</w:t>
            </w:r>
          </w:p>
          <w:p>
            <w:pPr>
              <w:spacing w:line="240" w:lineRule="auto"/>
              <w:rPr>
                <w:rFonts w:hint="eastAsia"/>
                <w:color w:val="000000"/>
                <w:lang w:val="en-US" w:eastAsia="zh-CN"/>
              </w:rPr>
            </w:pPr>
            <w:r>
              <w:rPr>
                <w:rFonts w:hint="eastAsia"/>
                <w:color w:val="000000"/>
                <w:lang w:val="en-US" w:eastAsia="zh-CN"/>
              </w:rPr>
              <w:t>3.7其他要求：</w:t>
            </w:r>
          </w:p>
          <w:p>
            <w:pPr>
              <w:spacing w:line="240" w:lineRule="auto"/>
              <w:rPr>
                <w:rFonts w:hint="eastAsia"/>
                <w:color w:val="000000"/>
                <w:lang w:val="en-US" w:eastAsia="zh-CN"/>
              </w:rPr>
            </w:pPr>
            <w:r>
              <w:rPr>
                <w:rFonts w:hint="eastAsia"/>
                <w:color w:val="000000"/>
                <w:lang w:val="en-US" w:eastAsia="zh-CN"/>
              </w:rPr>
              <w:t>（1）拒绝列入政府取消投标资格记录期间的企业或个人投标；</w:t>
            </w:r>
          </w:p>
          <w:p>
            <w:pPr>
              <w:spacing w:line="240" w:lineRule="auto"/>
              <w:rPr>
                <w:rFonts w:hint="eastAsia"/>
                <w:color w:val="000000"/>
                <w:lang w:val="en-US" w:eastAsia="zh-CN"/>
              </w:rPr>
            </w:pPr>
            <w:r>
              <w:rPr>
                <w:rFonts w:hint="eastAsia"/>
                <w:color w:val="000000"/>
                <w:lang w:val="en-US" w:eastAsia="zh-CN"/>
              </w:rPr>
              <w:t>（2）单位负责人为同一人或者存在直接控股、管理关系的不同供应商，不得参加同一合同项下的政府采购活动，否则，相关投标均无效。</w:t>
            </w:r>
          </w:p>
          <w:p>
            <w:pPr>
              <w:spacing w:line="240" w:lineRule="auto"/>
              <w:rPr>
                <w:rFonts w:hint="eastAsia"/>
                <w:color w:val="000000"/>
                <w:lang w:val="en-US" w:eastAsia="zh-CN"/>
              </w:rPr>
            </w:pPr>
            <w:r>
              <w:rPr>
                <w:rFonts w:hint="eastAsia"/>
                <w:color w:val="000000"/>
                <w:lang w:val="en-US" w:eastAsia="zh-CN"/>
              </w:rPr>
              <w:t>3.8 响应人不得具有以下任一情形：</w:t>
            </w:r>
          </w:p>
          <w:p>
            <w:pPr>
              <w:spacing w:line="240" w:lineRule="auto"/>
              <w:rPr>
                <w:rFonts w:hint="eastAsia"/>
                <w:color w:val="000000"/>
                <w:lang w:val="en-US" w:eastAsia="zh-CN"/>
              </w:rPr>
            </w:pPr>
            <w:r>
              <w:rPr>
                <w:rFonts w:hint="eastAsia"/>
                <w:color w:val="000000"/>
                <w:lang w:val="en-US" w:eastAsia="zh-CN"/>
              </w:rPr>
              <w:t>①被责令停业的；</w:t>
            </w:r>
          </w:p>
          <w:p>
            <w:pPr>
              <w:spacing w:line="240" w:lineRule="auto"/>
              <w:rPr>
                <w:rFonts w:hint="eastAsia"/>
                <w:color w:val="000000"/>
                <w:lang w:val="en-US" w:eastAsia="zh-CN"/>
              </w:rPr>
            </w:pPr>
            <w:r>
              <w:rPr>
                <w:rFonts w:hint="eastAsia"/>
                <w:color w:val="000000"/>
                <w:lang w:val="en-US" w:eastAsia="zh-CN"/>
              </w:rPr>
              <w:t>②被暂停或取消投标申请资格的；</w:t>
            </w:r>
          </w:p>
          <w:p>
            <w:pPr>
              <w:spacing w:line="240" w:lineRule="auto"/>
              <w:rPr>
                <w:rFonts w:hint="eastAsia"/>
                <w:color w:val="000000"/>
                <w:lang w:val="en-US" w:eastAsia="zh-CN"/>
              </w:rPr>
            </w:pPr>
            <w:r>
              <w:rPr>
                <w:rFonts w:hint="eastAsia"/>
                <w:color w:val="000000"/>
                <w:lang w:val="en-US" w:eastAsia="zh-CN"/>
              </w:rPr>
              <w:t>③财产被接管或冻结的；</w:t>
            </w:r>
          </w:p>
          <w:p>
            <w:pPr>
              <w:spacing w:line="240" w:lineRule="auto"/>
              <w:rPr>
                <w:rFonts w:hint="eastAsia"/>
                <w:color w:val="000000"/>
                <w:lang w:val="en-US" w:eastAsia="zh-CN"/>
              </w:rPr>
            </w:pPr>
            <w:r>
              <w:rPr>
                <w:rFonts w:hint="eastAsia"/>
                <w:color w:val="000000"/>
                <w:lang w:val="en-US" w:eastAsia="zh-CN"/>
              </w:rPr>
              <w:t>④近3年内有骗取成交、严重违约的。</w:t>
            </w:r>
          </w:p>
          <w:p>
            <w:pPr>
              <w:spacing w:line="240" w:lineRule="auto"/>
              <w:rPr>
                <w:rFonts w:hint="eastAsia"/>
                <w:color w:val="000000"/>
                <w:lang w:val="en-US" w:eastAsia="zh-CN"/>
              </w:rPr>
            </w:pPr>
            <w:r>
              <w:rPr>
                <w:rFonts w:hint="eastAsia"/>
                <w:color w:val="000000"/>
                <w:lang w:val="en-US" w:eastAsia="zh-CN"/>
              </w:rPr>
              <w:t>3.9 本项目所需特殊行业资质或要求：2022年度在县级以上行政主管部门完成社会稳定风险评估第三方机构备案，具体要求：提供备案证明（复印件加盖供应商公章）。</w:t>
            </w:r>
          </w:p>
          <w:p>
            <w:pPr>
              <w:spacing w:line="240" w:lineRule="auto"/>
              <w:rPr>
                <w:rFonts w:hint="eastAsia"/>
                <w:color w:val="000000"/>
                <w:lang w:val="en-US" w:eastAsia="zh-CN"/>
              </w:rPr>
            </w:pPr>
            <w:r>
              <w:rPr>
                <w:rFonts w:hint="eastAsia"/>
                <w:color w:val="000000"/>
                <w:lang w:val="en-US" w:eastAsia="zh-CN"/>
              </w:rPr>
              <w:t>3.10 本项目不接受联合体竞标。</w:t>
            </w:r>
          </w:p>
          <w:p>
            <w:pPr>
              <w:spacing w:line="240" w:lineRule="auto"/>
              <w:rPr>
                <w:rFonts w:hint="default"/>
                <w:color w:val="000000"/>
                <w:lang w:val="en-US" w:eastAsia="zh-CN"/>
              </w:rPr>
            </w:pPr>
            <w:r>
              <w:rPr>
                <w:rFonts w:hint="eastAsia"/>
                <w:color w:val="000000"/>
                <w:lang w:val="en-US" w:eastAsia="zh-CN"/>
              </w:rPr>
              <w:t>3.11 本项目专门针对中小企业采购。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FFF"/>
            <w:noWrap w:val="0"/>
            <w:vAlign w:val="center"/>
          </w:tcPr>
          <w:p>
            <w:pPr>
              <w:spacing w:line="240"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4</w:t>
            </w:r>
          </w:p>
        </w:tc>
        <w:tc>
          <w:tcPr>
            <w:tcW w:w="1800" w:type="dxa"/>
            <w:shd w:val="clear" w:color="auto" w:fill="FFFFFF"/>
            <w:noWrap w:val="0"/>
            <w:vAlign w:val="center"/>
          </w:tcPr>
          <w:p>
            <w:pPr>
              <w:spacing w:line="240" w:lineRule="auto"/>
              <w:jc w:val="distribute"/>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最高投标限价</w:t>
            </w:r>
          </w:p>
        </w:tc>
        <w:tc>
          <w:tcPr>
            <w:tcW w:w="7055" w:type="dxa"/>
            <w:shd w:val="clear" w:color="auto" w:fill="FFFFFF"/>
            <w:noWrap w:val="0"/>
            <w:vAlign w:val="center"/>
          </w:tcPr>
          <w:p>
            <w:pPr>
              <w:spacing w:line="240" w:lineRule="auto"/>
              <w:rPr>
                <w:rFonts w:hint="default" w:ascii="宋体" w:hAnsi="宋体" w:eastAsia="宋体"/>
                <w:color w:val="000000"/>
                <w:sz w:val="21"/>
                <w:szCs w:val="21"/>
                <w:highlight w:val="none"/>
                <w:lang w:val="en-US" w:eastAsia="zh-CN"/>
              </w:rPr>
            </w:pPr>
            <w:r>
              <w:rPr>
                <w:rFonts w:hint="eastAsia" w:hAnsi="宋体"/>
                <w:color w:val="000000"/>
                <w:sz w:val="21"/>
                <w:szCs w:val="21"/>
                <w:highlight w:val="none"/>
                <w:lang w:val="en-US" w:eastAsia="zh-CN"/>
              </w:rPr>
              <w:t>90000元。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DFA"/>
            <w:noWrap w:val="0"/>
            <w:vAlign w:val="center"/>
          </w:tcPr>
          <w:p>
            <w:pPr>
              <w:spacing w:line="240" w:lineRule="auto"/>
              <w:jc w:val="center"/>
              <w:rPr>
                <w:rFonts w:hint="eastAsia"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5</w:t>
            </w:r>
          </w:p>
        </w:tc>
        <w:tc>
          <w:tcPr>
            <w:tcW w:w="1800" w:type="dxa"/>
            <w:shd w:val="clear" w:color="auto" w:fill="FFFDFA"/>
            <w:noWrap w:val="0"/>
            <w:vAlign w:val="center"/>
          </w:tcPr>
          <w:p>
            <w:pPr>
              <w:spacing w:line="240" w:lineRule="auto"/>
              <w:jc w:val="distribute"/>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投标报价</w:t>
            </w:r>
          </w:p>
        </w:tc>
        <w:tc>
          <w:tcPr>
            <w:tcW w:w="7055" w:type="dxa"/>
            <w:shd w:val="clear" w:color="auto" w:fill="FFFDFA"/>
            <w:noWrap w:val="0"/>
            <w:vAlign w:val="center"/>
          </w:tcPr>
          <w:p>
            <w:pPr>
              <w:spacing w:line="240" w:lineRule="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5.1 报价人结合企业自身资质、实力等情况自行报价。</w:t>
            </w:r>
          </w:p>
          <w:p>
            <w:pPr>
              <w:spacing w:line="240" w:lineRule="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5.2 投标报价采用</w:t>
            </w:r>
            <w:r>
              <w:rPr>
                <w:rFonts w:hint="eastAsia" w:hAnsi="宋体"/>
                <w:color w:val="000000"/>
                <w:sz w:val="21"/>
                <w:szCs w:val="21"/>
                <w:highlight w:val="none"/>
                <w:u w:val="single"/>
                <w:lang w:val="en-US" w:eastAsia="zh-CN"/>
              </w:rPr>
              <w:t xml:space="preserve"> 包干总价 </w:t>
            </w:r>
            <w:r>
              <w:rPr>
                <w:rFonts w:hint="eastAsia" w:hAnsi="宋体"/>
                <w:color w:val="000000"/>
                <w:sz w:val="21"/>
                <w:szCs w:val="21"/>
                <w:highlight w:val="none"/>
                <w:lang w:val="en-US" w:eastAsia="zh-CN"/>
              </w:rPr>
              <w:t>报价。</w:t>
            </w:r>
          </w:p>
          <w:p>
            <w:pPr>
              <w:spacing w:line="240" w:lineRule="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5.3 包干总价为响应人根据竞争性磋商文件要求,完成工作范围内所有工作所需费用的总和，包括但不限于报告编制费、现场勘查费、资料费、评审费及税金等全部费用。</w:t>
            </w:r>
          </w:p>
          <w:p>
            <w:pPr>
              <w:spacing w:line="240" w:lineRule="auto"/>
              <w:rPr>
                <w:rFonts w:hint="eastAsia" w:hAnsi="宋体"/>
                <w:color w:val="000000"/>
                <w:sz w:val="21"/>
                <w:szCs w:val="21"/>
                <w:highlight w:val="none"/>
                <w:lang w:val="en-US" w:eastAsia="zh-CN"/>
              </w:rPr>
            </w:pPr>
            <w:r>
              <w:rPr>
                <w:rFonts w:hint="eastAsia" w:hAnsi="宋体"/>
                <w:color w:val="000000"/>
                <w:sz w:val="21"/>
                <w:szCs w:val="21"/>
                <w:highlight w:val="none"/>
                <w:lang w:val="en-US" w:eastAsia="zh-CN"/>
              </w:rPr>
              <w:t>5.4 实行二次报价，在全部满足竞争性磋商文件实质性要求前提下，磋商小组一一与响应人进行磋商，响应人需进行第二次报价与竞标承诺，且第二次报价的价格不能高于第一次报价。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FFF"/>
            <w:noWrap w:val="0"/>
            <w:vAlign w:val="center"/>
          </w:tcPr>
          <w:p>
            <w:pPr>
              <w:spacing w:line="240" w:lineRule="auto"/>
              <w:jc w:val="center"/>
              <w:rPr>
                <w:rFonts w:hint="eastAsia"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6</w:t>
            </w:r>
          </w:p>
        </w:tc>
        <w:tc>
          <w:tcPr>
            <w:tcW w:w="1800" w:type="dxa"/>
            <w:shd w:val="clear" w:color="auto" w:fill="FFFFFF"/>
            <w:noWrap w:val="0"/>
            <w:vAlign w:val="center"/>
          </w:tcPr>
          <w:p>
            <w:pPr>
              <w:spacing w:line="240" w:lineRule="auto"/>
              <w:jc w:val="center"/>
              <w:rPr>
                <w:rFonts w:hint="default" w:ascii="宋体" w:hAnsi="宋体"/>
                <w:color w:val="000000"/>
                <w:kern w:val="2"/>
                <w:sz w:val="21"/>
                <w:szCs w:val="21"/>
                <w:highlight w:val="none"/>
                <w:lang w:val="en-US" w:eastAsia="zh-CN" w:bidi="ar-SA"/>
              </w:rPr>
            </w:pPr>
            <w:r>
              <w:rPr>
                <w:rFonts w:hint="eastAsia" w:ascii="宋体" w:hAnsi="宋体"/>
                <w:color w:val="000000"/>
                <w:kern w:val="2"/>
                <w:sz w:val="21"/>
                <w:szCs w:val="21"/>
                <w:highlight w:val="none"/>
                <w:lang w:val="en-US" w:eastAsia="zh-CN" w:bidi="ar-SA"/>
              </w:rPr>
              <w:t>付款方式</w:t>
            </w:r>
          </w:p>
        </w:tc>
        <w:tc>
          <w:tcPr>
            <w:tcW w:w="7055" w:type="dxa"/>
            <w:shd w:val="clear" w:color="auto" w:fill="FFFFFF"/>
            <w:noWrap w:val="0"/>
            <w:vAlign w:val="center"/>
          </w:tcPr>
          <w:p>
            <w:pPr>
              <w:spacing w:line="240" w:lineRule="auto"/>
              <w:rPr>
                <w:rFonts w:hint="default" w:ascii="宋体" w:hAnsi="宋体"/>
                <w:color w:val="000000"/>
                <w:kern w:val="2"/>
                <w:sz w:val="21"/>
                <w:szCs w:val="21"/>
                <w:highlight w:val="none"/>
                <w:lang w:val="en-US" w:eastAsia="zh-CN" w:bidi="ar-SA"/>
              </w:rPr>
            </w:pPr>
            <w:r>
              <w:rPr>
                <w:rFonts w:hint="eastAsia" w:cs="Times New Roman"/>
                <w:color w:val="000000"/>
                <w:sz w:val="21"/>
                <w:szCs w:val="21"/>
                <w:lang w:val="en-US" w:eastAsia="zh-CN"/>
              </w:rPr>
              <w:t>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DFA"/>
            <w:noWrap w:val="0"/>
            <w:vAlign w:val="center"/>
          </w:tcPr>
          <w:p>
            <w:pPr>
              <w:spacing w:line="240" w:lineRule="auto"/>
              <w:jc w:val="center"/>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7</w:t>
            </w:r>
          </w:p>
        </w:tc>
        <w:tc>
          <w:tcPr>
            <w:tcW w:w="1800" w:type="dxa"/>
            <w:shd w:val="clear" w:color="auto" w:fill="FFFDFA"/>
            <w:noWrap w:val="0"/>
            <w:vAlign w:val="center"/>
          </w:tcPr>
          <w:p>
            <w:pPr>
              <w:spacing w:line="240" w:lineRule="auto"/>
              <w:jc w:val="distribute"/>
              <w:rPr>
                <w:rFonts w:hint="eastAsia" w:ascii="宋体" w:hAnsi="宋体"/>
                <w:color w:val="000000"/>
                <w:kern w:val="2"/>
                <w:sz w:val="21"/>
                <w:szCs w:val="21"/>
                <w:highlight w:val="none"/>
                <w:lang w:val="en-US" w:eastAsia="zh-CN" w:bidi="ar-SA"/>
              </w:rPr>
            </w:pPr>
            <w:r>
              <w:rPr>
                <w:rFonts w:hint="eastAsia" w:ascii="宋体" w:hAnsi="宋体"/>
                <w:color w:val="000000"/>
                <w:sz w:val="21"/>
                <w:szCs w:val="21"/>
                <w:highlight w:val="none"/>
                <w:lang w:eastAsia="zh-CN"/>
              </w:rPr>
              <w:t>响应文件</w:t>
            </w:r>
            <w:r>
              <w:rPr>
                <w:rFonts w:hint="eastAsia" w:ascii="宋体" w:hAnsi="宋体"/>
                <w:color w:val="000000"/>
                <w:sz w:val="21"/>
                <w:szCs w:val="21"/>
                <w:highlight w:val="none"/>
              </w:rPr>
              <w:t>份数</w:t>
            </w:r>
          </w:p>
        </w:tc>
        <w:tc>
          <w:tcPr>
            <w:tcW w:w="7055" w:type="dxa"/>
            <w:shd w:val="clear" w:color="auto" w:fill="FFFDFA"/>
            <w:noWrap w:val="0"/>
            <w:vAlign w:val="center"/>
          </w:tcPr>
          <w:p>
            <w:pPr>
              <w:spacing w:line="240" w:lineRule="auto"/>
              <w:rPr>
                <w:rFonts w:hint="eastAsia" w:ascii="宋体" w:hAnsi="宋体" w:eastAsia="宋体"/>
                <w:color w:val="000000"/>
                <w:kern w:val="2"/>
                <w:sz w:val="21"/>
                <w:szCs w:val="21"/>
                <w:highlight w:val="none"/>
                <w:lang w:val="en-US" w:eastAsia="zh-CN" w:bidi="ar-SA"/>
              </w:rPr>
            </w:pPr>
            <w:r>
              <w:rPr>
                <w:rFonts w:hint="eastAsia" w:ascii="宋体" w:hAnsi="宋体"/>
                <w:color w:val="000000"/>
                <w:sz w:val="21"/>
                <w:szCs w:val="21"/>
                <w:highlight w:val="none"/>
              </w:rPr>
              <w:t>正本一份</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FFF"/>
            <w:noWrap w:val="0"/>
            <w:vAlign w:val="center"/>
          </w:tcPr>
          <w:p>
            <w:pPr>
              <w:spacing w:line="240" w:lineRule="auto"/>
              <w:jc w:val="center"/>
              <w:rPr>
                <w:rFonts w:hint="default" w:ascii="宋体" w:hAnsi="宋体"/>
                <w:color w:val="000000"/>
                <w:kern w:val="2"/>
                <w:sz w:val="21"/>
                <w:szCs w:val="21"/>
                <w:highlight w:val="none"/>
                <w:lang w:val="en-US" w:eastAsia="zh-CN" w:bidi="ar-SA"/>
              </w:rPr>
            </w:pPr>
            <w:r>
              <w:rPr>
                <w:rFonts w:hint="eastAsia" w:ascii="宋体" w:hAnsi="宋体"/>
                <w:color w:val="000000"/>
                <w:kern w:val="2"/>
                <w:sz w:val="21"/>
                <w:szCs w:val="21"/>
                <w:highlight w:val="none"/>
                <w:lang w:val="en-US" w:eastAsia="zh-CN" w:bidi="ar-SA"/>
              </w:rPr>
              <w:t>8</w:t>
            </w:r>
          </w:p>
        </w:tc>
        <w:tc>
          <w:tcPr>
            <w:tcW w:w="1800" w:type="dxa"/>
            <w:shd w:val="clear" w:color="auto" w:fill="FFFFFF"/>
            <w:noWrap w:val="0"/>
            <w:vAlign w:val="center"/>
          </w:tcPr>
          <w:p>
            <w:pPr>
              <w:spacing w:line="240" w:lineRule="auto"/>
              <w:jc w:val="center"/>
              <w:rPr>
                <w:rFonts w:hint="eastAsia" w:ascii="宋体" w:hAnsi="宋体"/>
                <w:color w:val="000000"/>
                <w:kern w:val="2"/>
                <w:sz w:val="21"/>
                <w:szCs w:val="21"/>
                <w:highlight w:val="none"/>
                <w:lang w:val="en-US" w:eastAsia="zh-CN" w:bidi="ar-SA"/>
              </w:rPr>
            </w:pPr>
            <w:r>
              <w:rPr>
                <w:rFonts w:hint="eastAsia" w:ascii="宋体" w:hAnsi="宋体"/>
                <w:color w:val="000000"/>
                <w:spacing w:val="30"/>
                <w:sz w:val="21"/>
                <w:szCs w:val="21"/>
                <w:highlight w:val="none"/>
                <w:lang w:val="en-US" w:eastAsia="zh-CN"/>
              </w:rPr>
              <w:t>磋商</w:t>
            </w:r>
            <w:r>
              <w:rPr>
                <w:rFonts w:hint="eastAsia" w:ascii="宋体" w:hAnsi="宋体"/>
                <w:color w:val="000000"/>
                <w:spacing w:val="30"/>
                <w:sz w:val="21"/>
                <w:szCs w:val="21"/>
                <w:highlight w:val="none"/>
              </w:rPr>
              <w:t>有效</w:t>
            </w:r>
            <w:r>
              <w:rPr>
                <w:rFonts w:hint="eastAsia" w:ascii="宋体" w:hAnsi="宋体"/>
                <w:color w:val="000000"/>
                <w:sz w:val="21"/>
                <w:szCs w:val="21"/>
                <w:highlight w:val="none"/>
              </w:rPr>
              <w:t>期</w:t>
            </w:r>
          </w:p>
        </w:tc>
        <w:tc>
          <w:tcPr>
            <w:tcW w:w="7055" w:type="dxa"/>
            <w:shd w:val="clear" w:color="auto" w:fill="FFFFFF"/>
            <w:noWrap w:val="0"/>
            <w:vAlign w:val="center"/>
          </w:tcPr>
          <w:p>
            <w:pPr>
              <w:spacing w:line="240" w:lineRule="auto"/>
              <w:rPr>
                <w:rFonts w:hint="eastAsia" w:ascii="宋体" w:hAnsi="宋体"/>
                <w:color w:val="000000"/>
                <w:kern w:val="2"/>
                <w:sz w:val="21"/>
                <w:szCs w:val="21"/>
                <w:highlight w:val="none"/>
                <w:lang w:val="en-US" w:eastAsia="zh-CN" w:bidi="ar-SA"/>
              </w:rPr>
            </w:pPr>
            <w:r>
              <w:rPr>
                <w:rFonts w:hint="eastAsia" w:ascii="宋体" w:hAnsi="宋体"/>
                <w:color w:val="000000"/>
                <w:sz w:val="21"/>
                <w:szCs w:val="21"/>
                <w:highlight w:val="none"/>
                <w:lang w:val="en-US" w:eastAsia="zh-CN"/>
              </w:rPr>
              <w:t>递交响应文件截止时间起60</w:t>
            </w:r>
            <w:r>
              <w:rPr>
                <w:rFonts w:hint="eastAsia" w:ascii="宋体" w:hAnsi="宋体"/>
                <w:color w:val="000000"/>
                <w:sz w:val="21"/>
                <w:szCs w:val="21"/>
                <w:highlight w:val="none"/>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DFA"/>
            <w:noWrap w:val="0"/>
            <w:vAlign w:val="center"/>
          </w:tcPr>
          <w:p>
            <w:pPr>
              <w:spacing w:line="240" w:lineRule="auto"/>
              <w:jc w:val="center"/>
              <w:rPr>
                <w:rFonts w:hint="default" w:ascii="宋体" w:hAnsi="宋体"/>
                <w:color w:val="000000"/>
                <w:kern w:val="2"/>
                <w:sz w:val="21"/>
                <w:szCs w:val="21"/>
                <w:highlight w:val="none"/>
                <w:lang w:val="en-US" w:eastAsia="zh-CN" w:bidi="ar-SA"/>
              </w:rPr>
            </w:pPr>
            <w:r>
              <w:rPr>
                <w:rFonts w:hint="eastAsia" w:ascii="宋体" w:hAnsi="宋体"/>
                <w:color w:val="000000"/>
                <w:kern w:val="2"/>
                <w:sz w:val="21"/>
                <w:szCs w:val="21"/>
                <w:highlight w:val="none"/>
                <w:lang w:val="en-US" w:eastAsia="zh-CN" w:bidi="ar-SA"/>
              </w:rPr>
              <w:t>9</w:t>
            </w:r>
          </w:p>
        </w:tc>
        <w:tc>
          <w:tcPr>
            <w:tcW w:w="1800" w:type="dxa"/>
            <w:shd w:val="clear" w:color="auto" w:fill="FFFDFA"/>
            <w:noWrap w:val="0"/>
            <w:vAlign w:val="center"/>
          </w:tcPr>
          <w:p>
            <w:pPr>
              <w:spacing w:line="240" w:lineRule="auto"/>
              <w:jc w:val="center"/>
              <w:rPr>
                <w:rFonts w:hint="eastAsia" w:ascii="宋体" w:hAnsi="宋体"/>
                <w:color w:val="000000"/>
                <w:kern w:val="2"/>
                <w:sz w:val="21"/>
                <w:szCs w:val="21"/>
                <w:highlight w:val="none"/>
                <w:lang w:val="en-US" w:eastAsia="zh-CN" w:bidi="ar-SA"/>
              </w:rPr>
            </w:pPr>
            <w:r>
              <w:rPr>
                <w:rFonts w:hint="eastAsia" w:ascii="宋体" w:hAnsi="宋体"/>
                <w:color w:val="000000"/>
                <w:sz w:val="21"/>
                <w:szCs w:val="21"/>
                <w:highlight w:val="none"/>
                <w:lang w:val="en-US" w:eastAsia="zh-CN"/>
              </w:rPr>
              <w:t>评审</w:t>
            </w:r>
            <w:r>
              <w:rPr>
                <w:rFonts w:hint="eastAsia" w:ascii="宋体" w:hAnsi="宋体"/>
                <w:color w:val="000000"/>
                <w:sz w:val="21"/>
                <w:szCs w:val="21"/>
                <w:highlight w:val="none"/>
              </w:rPr>
              <w:t>办法</w:t>
            </w:r>
          </w:p>
        </w:tc>
        <w:tc>
          <w:tcPr>
            <w:tcW w:w="7055" w:type="dxa"/>
            <w:shd w:val="clear" w:color="auto" w:fill="FFFDFA"/>
            <w:noWrap w:val="0"/>
            <w:vAlign w:val="center"/>
          </w:tcPr>
          <w:p>
            <w:pPr>
              <w:spacing w:line="240" w:lineRule="auto"/>
              <w:rPr>
                <w:rFonts w:hint="default" w:ascii="宋体" w:hAnsi="宋体" w:eastAsia="宋体"/>
                <w:color w:val="000000"/>
                <w:kern w:val="2"/>
                <w:sz w:val="21"/>
                <w:szCs w:val="21"/>
                <w:highlight w:val="none"/>
                <w:lang w:val="en-US" w:eastAsia="zh-CN" w:bidi="ar-SA"/>
              </w:rPr>
            </w:pPr>
            <w:r>
              <w:rPr>
                <w:rFonts w:hint="eastAsia" w:ascii="宋体" w:hAnsi="宋体"/>
                <w:color w:val="000000"/>
                <w:sz w:val="21"/>
                <w:szCs w:val="21"/>
              </w:rPr>
              <w:t>综合</w:t>
            </w:r>
            <w:r>
              <w:rPr>
                <w:rFonts w:hint="eastAsia" w:ascii="宋体" w:hAnsi="宋体"/>
                <w:color w:val="000000"/>
                <w:sz w:val="21"/>
                <w:szCs w:val="21"/>
                <w:lang w:val="en-US" w:eastAsia="zh-CN"/>
              </w:rPr>
              <w:t>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FFFFF"/>
            <w:noWrap w:val="0"/>
            <w:vAlign w:val="center"/>
          </w:tcPr>
          <w:p>
            <w:pPr>
              <w:spacing w:line="240" w:lineRule="auto"/>
              <w:jc w:val="center"/>
              <w:rPr>
                <w:rFonts w:hint="default" w:ascii="宋体" w:hAnsi="宋体"/>
                <w:color w:val="000000"/>
                <w:kern w:val="2"/>
                <w:sz w:val="21"/>
                <w:szCs w:val="21"/>
                <w:highlight w:val="none"/>
                <w:lang w:val="en-US" w:eastAsia="zh-CN" w:bidi="ar-SA"/>
              </w:rPr>
            </w:pPr>
            <w:r>
              <w:rPr>
                <w:rFonts w:hint="eastAsia" w:ascii="宋体" w:hAnsi="宋体"/>
                <w:color w:val="000000"/>
                <w:kern w:val="2"/>
                <w:sz w:val="21"/>
                <w:szCs w:val="21"/>
                <w:highlight w:val="none"/>
                <w:lang w:val="en-US" w:eastAsia="zh-CN" w:bidi="ar-SA"/>
              </w:rPr>
              <w:t>10</w:t>
            </w:r>
          </w:p>
        </w:tc>
        <w:tc>
          <w:tcPr>
            <w:tcW w:w="1800" w:type="dxa"/>
            <w:shd w:val="clear" w:color="auto" w:fill="FFFFFF"/>
            <w:noWrap w:val="0"/>
            <w:vAlign w:val="center"/>
          </w:tcPr>
          <w:p>
            <w:pPr>
              <w:spacing w:line="240" w:lineRule="auto"/>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采购人补充的其他说明</w:t>
            </w:r>
          </w:p>
        </w:tc>
        <w:tc>
          <w:tcPr>
            <w:tcW w:w="7055" w:type="dxa"/>
            <w:shd w:val="clear" w:color="auto" w:fill="FFFFFF"/>
            <w:noWrap w:val="0"/>
            <w:vAlign w:val="center"/>
          </w:tcPr>
          <w:p>
            <w:pPr>
              <w:spacing w:line="240" w:lineRule="auto"/>
              <w:rPr>
                <w:rFonts w:hint="eastAsia"/>
                <w:color w:val="000000"/>
                <w:sz w:val="21"/>
                <w:szCs w:val="21"/>
                <w:lang w:val="en-US" w:eastAsia="zh-CN"/>
              </w:rPr>
            </w:pPr>
            <w:r>
              <w:rPr>
                <w:rFonts w:hint="eastAsia"/>
                <w:color w:val="000000"/>
                <w:sz w:val="21"/>
                <w:szCs w:val="21"/>
                <w:lang w:val="en-US" w:eastAsia="zh-CN"/>
              </w:rPr>
              <w:t xml:space="preserve">9.1 </w:t>
            </w:r>
            <w:r>
              <w:rPr>
                <w:rFonts w:hint="default"/>
                <w:color w:val="000000"/>
                <w:sz w:val="21"/>
                <w:szCs w:val="21"/>
                <w:lang w:val="en-US" w:eastAsia="zh-CN"/>
              </w:rPr>
              <w:t>工作要求</w:t>
            </w:r>
            <w:r>
              <w:rPr>
                <w:rFonts w:hint="eastAsia"/>
                <w:color w:val="000000"/>
                <w:sz w:val="21"/>
                <w:szCs w:val="21"/>
                <w:lang w:val="en-US" w:eastAsia="zh-CN"/>
              </w:rPr>
              <w:t>：</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（1）</w:t>
            </w:r>
            <w:r>
              <w:rPr>
                <w:rFonts w:hint="eastAsia" w:eastAsia="宋体" w:cs="Times New Roman"/>
                <w:color w:val="000000"/>
                <w:sz w:val="21"/>
                <w:szCs w:val="21"/>
                <w:lang w:val="en-US" w:eastAsia="zh-CN"/>
              </w:rPr>
              <w:t>成果文件提交期限：采购人规定的时间内完成委托的服务项目。成交单位按采购人的要求提交《社会稳定风险评估报告书》。</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（2）</w:t>
            </w:r>
            <w:r>
              <w:rPr>
                <w:rFonts w:hint="eastAsia" w:eastAsia="宋体" w:cs="Times New Roman"/>
                <w:color w:val="000000"/>
                <w:sz w:val="21"/>
                <w:szCs w:val="21"/>
                <w:lang w:val="en-US" w:eastAsia="zh-CN"/>
              </w:rPr>
              <w:t>成交单位必须严格按要求期限独立完成评估工作，不得无故延误评估时间。</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（3）</w:t>
            </w:r>
            <w:r>
              <w:rPr>
                <w:rFonts w:hint="eastAsia" w:eastAsia="宋体" w:cs="Times New Roman"/>
                <w:color w:val="000000"/>
                <w:sz w:val="21"/>
                <w:szCs w:val="21"/>
                <w:lang w:val="en-US" w:eastAsia="zh-CN"/>
              </w:rPr>
              <w:t>若成交单位在合同履行过程中不积极主动完成相关工作，采购人可视情况进行约谈。如经两次约谈后，成交单位工作仍未达到采购人的要求，采购人有权无条件解除合同。</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（4）</w:t>
            </w:r>
            <w:r>
              <w:rPr>
                <w:rFonts w:hint="eastAsia" w:eastAsia="宋体" w:cs="Times New Roman"/>
                <w:color w:val="000000"/>
                <w:sz w:val="21"/>
                <w:szCs w:val="21"/>
                <w:lang w:val="en-US" w:eastAsia="zh-CN"/>
              </w:rPr>
              <w:t>在履行合同过程中不得更换项目负责人，如在社会稳定评估编制过程中发现项目负责人与响应文件拟派项目负责人不一致的，将取消中标资格或中止合同。</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（5）</w:t>
            </w:r>
            <w:r>
              <w:rPr>
                <w:rFonts w:hint="eastAsia" w:eastAsia="宋体" w:cs="Times New Roman"/>
                <w:color w:val="000000"/>
                <w:sz w:val="21"/>
                <w:szCs w:val="21"/>
                <w:lang w:val="en-US" w:eastAsia="zh-CN"/>
              </w:rPr>
              <w:t>在编制过程中由项目负责人负责与</w:t>
            </w:r>
            <w:r>
              <w:rPr>
                <w:rFonts w:hint="eastAsia" w:cs="Times New Roman"/>
                <w:color w:val="000000"/>
                <w:sz w:val="21"/>
                <w:szCs w:val="21"/>
                <w:lang w:val="en-US" w:eastAsia="zh-CN"/>
              </w:rPr>
              <w:t>采购人</w:t>
            </w:r>
            <w:r>
              <w:rPr>
                <w:rFonts w:hint="eastAsia" w:eastAsia="宋体" w:cs="Times New Roman"/>
                <w:color w:val="000000"/>
                <w:sz w:val="21"/>
                <w:szCs w:val="21"/>
                <w:lang w:val="en-US" w:eastAsia="zh-CN"/>
              </w:rPr>
              <w:t>对接工作中事宜。</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（6）</w:t>
            </w:r>
            <w:r>
              <w:rPr>
                <w:rFonts w:hint="eastAsia" w:eastAsia="宋体" w:cs="Times New Roman"/>
                <w:color w:val="000000"/>
                <w:sz w:val="21"/>
                <w:szCs w:val="21"/>
                <w:lang w:val="en-US" w:eastAsia="zh-CN"/>
              </w:rPr>
              <w:t>成交单位不得将受托项目转包或分包给其他单位或个人。</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（7）</w:t>
            </w:r>
            <w:r>
              <w:rPr>
                <w:rFonts w:hint="eastAsia" w:eastAsia="宋体" w:cs="Times New Roman"/>
                <w:color w:val="000000"/>
                <w:sz w:val="21"/>
                <w:szCs w:val="21"/>
                <w:lang w:val="en-US" w:eastAsia="zh-CN"/>
              </w:rPr>
              <w:t>严格按国家政策、规范进行编制，依据《贵州省重大行政决策程序实施办法》（贵州省人民政府令第197号）文件编制规定要求进行社会稳定风险评估，保证其合理性、真实性；评估报告必须满足国家、省、市现行编制规范深度及招标文件的要求和质量标准。严格维护采购人的合法利益。</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（8）</w:t>
            </w:r>
            <w:r>
              <w:rPr>
                <w:rFonts w:hint="eastAsia" w:eastAsia="宋体" w:cs="Times New Roman"/>
                <w:color w:val="000000"/>
                <w:sz w:val="21"/>
                <w:szCs w:val="21"/>
                <w:lang w:val="en-US" w:eastAsia="zh-CN"/>
              </w:rPr>
              <w:t>负责解释本项目社会稳定风险评估文件，参与采购人召开的工程相关工作会议。</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（9）</w:t>
            </w:r>
            <w:r>
              <w:rPr>
                <w:rFonts w:hint="eastAsia" w:eastAsia="宋体" w:cs="Times New Roman"/>
                <w:color w:val="000000"/>
                <w:sz w:val="21"/>
                <w:szCs w:val="21"/>
                <w:lang w:val="en-US" w:eastAsia="zh-CN"/>
              </w:rPr>
              <w:t>园区内的工程建设过程中如遇社会稳定评估方面的检查或答疑，成交单位需配合澄清直至工程建设结束。</w:t>
            </w:r>
          </w:p>
          <w:p>
            <w:pPr>
              <w:spacing w:line="240" w:lineRule="auto"/>
              <w:rPr>
                <w:rFonts w:hint="eastAsia" w:eastAsia="宋体" w:cs="Times New Roman"/>
                <w:color w:val="000000"/>
                <w:sz w:val="21"/>
                <w:szCs w:val="21"/>
                <w:lang w:val="en-US" w:eastAsia="zh-CN"/>
              </w:rPr>
            </w:pPr>
            <w:r>
              <w:rPr>
                <w:rFonts w:hint="eastAsia" w:cs="Times New Roman"/>
                <w:color w:val="000000"/>
                <w:sz w:val="21"/>
                <w:szCs w:val="21"/>
                <w:lang w:val="en-US" w:eastAsia="zh-CN"/>
              </w:rPr>
              <w:t>（10）</w:t>
            </w:r>
            <w:r>
              <w:rPr>
                <w:rFonts w:hint="eastAsia" w:eastAsia="宋体" w:cs="Times New Roman"/>
                <w:color w:val="000000"/>
                <w:sz w:val="21"/>
                <w:szCs w:val="21"/>
                <w:lang w:val="en-US" w:eastAsia="zh-CN"/>
              </w:rPr>
              <w:t xml:space="preserve">编制的社会稳定评估报告需取得专家评审及相关行政审批部门批复。9.2 其他注意事项： </w:t>
            </w:r>
          </w:p>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（1）参加本次竞争性磋商所发生的一切费用由响应人自行承担；</w:t>
            </w:r>
          </w:p>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（2）响应人提交文件、参加竞磋会必须是响应人的法定代表人或授权委托人，并必须遵守办理程序及人员身份的相关规定；</w:t>
            </w:r>
          </w:p>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（3）本次竞争性磋商活动在观山湖区现代制造业产业发展办公室（观山湖区汽车产业发展中心）进行，响应人违反上述交易规则可能导致不利后果，责任由该响应人自负；</w:t>
            </w:r>
          </w:p>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（4） 响应人须对响应文件的真实性负责。我单位有权将响应文件的部分或全部内容向外公示，若公示期间收到有关弄虚作假投诉的，响应人将提请相关行政主管部门查处。一旦查实将严格按照法律法规作出处理。</w:t>
            </w:r>
          </w:p>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（5）本次的计划竞磋时间如有变动，我单位将另行通知。</w:t>
            </w:r>
          </w:p>
          <w:p>
            <w:pPr>
              <w:spacing w:line="240" w:lineRule="auto"/>
              <w:rPr>
                <w:rFonts w:hint="default"/>
                <w:color w:val="000000"/>
                <w:sz w:val="21"/>
                <w:szCs w:val="21"/>
                <w:lang w:val="en-US" w:eastAsia="zh-CN"/>
              </w:rPr>
            </w:pPr>
            <w:r>
              <w:rPr>
                <w:rFonts w:hint="eastAsia" w:eastAsia="宋体" w:cs="Times New Roman"/>
                <w:color w:val="000000"/>
                <w:sz w:val="21"/>
                <w:szCs w:val="21"/>
                <w:lang w:val="en-US" w:eastAsia="zh-CN"/>
              </w:rPr>
              <w:t>（6）本竞争性磋商最终解释权归采购人。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shd w:val="clear" w:color="auto" w:fill="FBF1D7"/>
            <w:noWrap w:val="0"/>
            <w:vAlign w:val="center"/>
          </w:tcPr>
          <w:p>
            <w:pPr>
              <w:spacing w:line="240" w:lineRule="auto"/>
              <w:jc w:val="center"/>
              <w:rPr>
                <w:rFonts w:hint="default" w:ascii="宋体" w:hAnsi="宋体"/>
                <w:color w:val="000000"/>
                <w:kern w:val="2"/>
                <w:sz w:val="21"/>
                <w:szCs w:val="21"/>
                <w:highlight w:val="none"/>
                <w:lang w:val="en-US" w:eastAsia="zh-CN" w:bidi="ar-SA"/>
              </w:rPr>
            </w:pPr>
            <w:r>
              <w:rPr>
                <w:rFonts w:hint="eastAsia" w:ascii="宋体" w:hAnsi="宋体"/>
                <w:color w:val="000000"/>
                <w:kern w:val="2"/>
                <w:sz w:val="21"/>
                <w:szCs w:val="21"/>
                <w:highlight w:val="none"/>
                <w:lang w:val="en-US" w:eastAsia="zh-CN" w:bidi="ar-SA"/>
              </w:rPr>
              <w:t>11</w:t>
            </w:r>
          </w:p>
        </w:tc>
        <w:tc>
          <w:tcPr>
            <w:tcW w:w="1800" w:type="dxa"/>
            <w:shd w:val="clear" w:color="auto" w:fill="FBF1D7"/>
            <w:noWrap w:val="0"/>
            <w:vAlign w:val="center"/>
          </w:tcPr>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磋商文件的澄清、修改或补充</w:t>
            </w:r>
          </w:p>
          <w:p>
            <w:pPr>
              <w:spacing w:line="240" w:lineRule="auto"/>
              <w:jc w:val="center"/>
              <w:rPr>
                <w:rFonts w:hint="eastAsia" w:ascii="宋体" w:hAnsi="宋体"/>
                <w:color w:val="000000"/>
                <w:sz w:val="21"/>
                <w:szCs w:val="21"/>
                <w:highlight w:val="none"/>
                <w:lang w:val="en-US" w:eastAsia="zh-CN"/>
              </w:rPr>
            </w:pPr>
          </w:p>
        </w:tc>
        <w:tc>
          <w:tcPr>
            <w:tcW w:w="7055" w:type="dxa"/>
            <w:shd w:val="clear" w:color="auto" w:fill="FBF1D7"/>
            <w:noWrap w:val="0"/>
            <w:vAlign w:val="center"/>
          </w:tcPr>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11.1  竞争性磋商文件的澄清</w:t>
            </w:r>
          </w:p>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1）响应人获取竞争性磋商文件后，应仔细阅读竞争性磋商文件的全部内容，若发现竞争性磋商文件缺页或附件不全以及有违反国家法律、法规、规章的条款，应及时向采购人提出。若对竞争性磋商文件有疑问需要澄清，应及时与采购人沟通。采购人并将需澄清的内容通知所有获取竞争性磋商文件的响应人。</w:t>
            </w:r>
          </w:p>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（2）澄清内容作为竞争性磋商文件的组成部份。当竞争性磋商文件与竞争性磋商文件的澄清内容不一致时，以澄清内容为准。</w:t>
            </w:r>
          </w:p>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11.2 竞争性磋商文件的修改或补充</w:t>
            </w:r>
            <w:bookmarkStart w:id="160" w:name="_GoBack"/>
            <w:bookmarkEnd w:id="160"/>
          </w:p>
          <w:p>
            <w:pPr>
              <w:spacing w:line="240" w:lineRule="auto"/>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竞争性磋商文件的修改或补充内容作为竞争性磋商文件的组成部分。当竞争性磋商文件与竞争性磋商文件的修改或补充内容表述不一致时，以修改或补充内容为准；当前后发出的修改或补充内容表述不一致时，以最后发出的修改或补充内容为准。</w:t>
            </w:r>
          </w:p>
        </w:tc>
      </w:tr>
    </w:tbl>
    <w:p>
      <w:pPr>
        <w:pStyle w:val="26"/>
        <w:ind w:left="0" w:leftChars="0" w:firstLine="0" w:firstLineChars="0"/>
        <w:rPr>
          <w:rFonts w:hint="eastAsia"/>
        </w:rPr>
      </w:pPr>
    </w:p>
    <w:p>
      <w:pPr>
        <w:adjustRightInd w:val="0"/>
        <w:snapToGrid w:val="0"/>
        <w:spacing w:line="360" w:lineRule="auto"/>
        <w:jc w:val="center"/>
        <w:rPr>
          <w:rFonts w:hint="eastAsia" w:ascii="宋体" w:hAnsi="宋体" w:eastAsia="宋体"/>
          <w:b/>
          <w:sz w:val="32"/>
          <w:szCs w:val="32"/>
          <w:lang w:val="en-US" w:eastAsia="zh-CN"/>
        </w:rPr>
      </w:pPr>
      <w:r>
        <w:rPr>
          <w:rFonts w:hint="eastAsia" w:ascii="宋体" w:hAnsi="宋体"/>
          <w:b/>
          <w:sz w:val="32"/>
          <w:szCs w:val="32"/>
          <w:lang w:eastAsia="zh-CN"/>
        </w:rPr>
        <w:t>竞争性磋商</w:t>
      </w:r>
      <w:r>
        <w:rPr>
          <w:rFonts w:hint="eastAsia" w:ascii="宋体" w:hAnsi="宋体"/>
          <w:b/>
          <w:sz w:val="32"/>
          <w:szCs w:val="32"/>
        </w:rPr>
        <w:t>须知</w:t>
      </w:r>
      <w:r>
        <w:rPr>
          <w:rFonts w:hint="eastAsia" w:ascii="宋体" w:hAnsi="宋体"/>
          <w:b/>
          <w:sz w:val="32"/>
          <w:szCs w:val="32"/>
          <w:lang w:val="en-US" w:eastAsia="zh-CN"/>
        </w:rPr>
        <w:t>正文</w:t>
      </w:r>
    </w:p>
    <w:p>
      <w:pPr>
        <w:pStyle w:val="5"/>
        <w:bidi w:val="0"/>
        <w:rPr>
          <w:rFonts w:hint="eastAsia"/>
        </w:rPr>
      </w:pPr>
      <w:bookmarkStart w:id="50" w:name="_Toc20879"/>
      <w:r>
        <w:rPr>
          <w:rFonts w:hint="eastAsia"/>
          <w:b/>
          <w:bCs w:val="0"/>
        </w:rPr>
        <w:t>1.总则</w:t>
      </w:r>
      <w:bookmarkEnd w:id="50"/>
    </w:p>
    <w:p>
      <w:pPr>
        <w:adjustRightInd w:val="0"/>
        <w:snapToGrid w:val="0"/>
        <w:spacing w:line="360" w:lineRule="auto"/>
        <w:ind w:firstLine="540"/>
        <w:jc w:val="left"/>
        <w:rPr>
          <w:rFonts w:hint="eastAsia" w:ascii="宋体" w:hAnsi="宋体"/>
          <w:sz w:val="24"/>
        </w:rPr>
      </w:pPr>
      <w:r>
        <w:rPr>
          <w:rFonts w:hint="eastAsia" w:ascii="宋体" w:hAnsi="宋体"/>
          <w:spacing w:val="-20"/>
          <w:sz w:val="24"/>
        </w:rPr>
        <w:t>1.1</w:t>
      </w:r>
      <w:r>
        <w:rPr>
          <w:rFonts w:hint="eastAsia" w:ascii="宋体" w:hAnsi="宋体"/>
          <w:sz w:val="24"/>
          <w:lang w:eastAsia="zh-CN"/>
        </w:rPr>
        <w:t>竞争性磋商</w:t>
      </w:r>
      <w:r>
        <w:rPr>
          <w:rFonts w:hint="eastAsia" w:ascii="宋体" w:hAnsi="宋体"/>
          <w:sz w:val="24"/>
        </w:rPr>
        <w:t>组织：本项目的</w:t>
      </w:r>
      <w:r>
        <w:rPr>
          <w:rFonts w:hint="eastAsia" w:ascii="宋体" w:hAnsi="宋体"/>
          <w:sz w:val="24"/>
          <w:lang w:val="en-US" w:eastAsia="zh-CN"/>
        </w:rPr>
        <w:t>采购人</w:t>
      </w:r>
      <w:r>
        <w:rPr>
          <w:rFonts w:hint="eastAsia" w:ascii="宋体" w:hAnsi="宋体"/>
          <w:sz w:val="24"/>
        </w:rPr>
        <w:t>为</w:t>
      </w:r>
      <w:r>
        <w:rPr>
          <w:rFonts w:hint="eastAsia" w:ascii="宋体" w:hAnsi="宋体"/>
          <w:sz w:val="24"/>
          <w:lang w:eastAsia="zh-CN"/>
        </w:rPr>
        <w:t>观山湖区现代制造业产业发展办公室</w:t>
      </w:r>
      <w:r>
        <w:rPr>
          <w:rFonts w:hint="eastAsia" w:ascii="宋体" w:hAnsi="宋体"/>
          <w:sz w:val="24"/>
        </w:rPr>
        <w:t>，</w:t>
      </w:r>
      <w:r>
        <w:rPr>
          <w:rFonts w:hint="eastAsia" w:ascii="宋体" w:hAnsi="宋体"/>
          <w:sz w:val="24"/>
          <w:lang w:eastAsia="zh-CN"/>
        </w:rPr>
        <w:t>竞争性磋商</w:t>
      </w:r>
      <w:r>
        <w:rPr>
          <w:rFonts w:hint="eastAsia" w:ascii="宋体" w:hAnsi="宋体"/>
          <w:sz w:val="24"/>
        </w:rPr>
        <w:t>工作由我</w:t>
      </w:r>
      <w:r>
        <w:rPr>
          <w:rFonts w:hint="eastAsia" w:ascii="宋体" w:hAnsi="宋体"/>
          <w:sz w:val="24"/>
          <w:lang w:val="en-US" w:eastAsia="zh-CN"/>
        </w:rPr>
        <w:t>单位自行</w:t>
      </w:r>
      <w:r>
        <w:rPr>
          <w:rFonts w:hint="eastAsia" w:ascii="宋体" w:hAnsi="宋体"/>
          <w:sz w:val="24"/>
        </w:rPr>
        <w:t>组织进行。</w:t>
      </w:r>
    </w:p>
    <w:p>
      <w:pPr>
        <w:adjustRightInd w:val="0"/>
        <w:snapToGrid w:val="0"/>
        <w:spacing w:line="360" w:lineRule="auto"/>
        <w:ind w:firstLine="540"/>
        <w:jc w:val="left"/>
        <w:rPr>
          <w:rFonts w:hint="eastAsia" w:ascii="宋体" w:hAnsi="宋体"/>
          <w:sz w:val="24"/>
        </w:rPr>
      </w:pPr>
      <w:r>
        <w:rPr>
          <w:rFonts w:hint="eastAsia" w:ascii="宋体" w:hAnsi="宋体"/>
          <w:sz w:val="24"/>
        </w:rPr>
        <w:t>1.2名词释义</w:t>
      </w:r>
    </w:p>
    <w:p>
      <w:pPr>
        <w:adjustRightInd w:val="0"/>
        <w:snapToGrid w:val="0"/>
        <w:spacing w:line="360" w:lineRule="auto"/>
        <w:ind w:firstLine="540"/>
        <w:jc w:val="left"/>
        <w:rPr>
          <w:rFonts w:hint="eastAsia" w:ascii="宋体" w:hAnsi="宋体" w:eastAsia="宋体"/>
          <w:sz w:val="24"/>
          <w:lang w:eastAsia="zh-CN"/>
        </w:rPr>
      </w:pPr>
      <w:r>
        <w:rPr>
          <w:rFonts w:hint="eastAsia" w:ascii="宋体" w:hAnsi="宋体"/>
          <w:sz w:val="24"/>
          <w:lang w:val="en-US" w:eastAsia="zh-CN"/>
        </w:rPr>
        <w:t>采购人</w:t>
      </w:r>
      <w:r>
        <w:rPr>
          <w:rFonts w:hint="eastAsia" w:ascii="宋体" w:hAnsi="宋体"/>
          <w:sz w:val="24"/>
        </w:rPr>
        <w:t>：</w:t>
      </w:r>
      <w:r>
        <w:rPr>
          <w:rFonts w:hint="eastAsia" w:ascii="宋体" w:hAnsi="宋体"/>
          <w:sz w:val="24"/>
          <w:lang w:eastAsia="zh-CN"/>
        </w:rPr>
        <w:t>观山湖区现代制造业产业发展办公室</w:t>
      </w:r>
    </w:p>
    <w:p>
      <w:pPr>
        <w:adjustRightInd w:val="0"/>
        <w:snapToGrid w:val="0"/>
        <w:spacing w:line="360" w:lineRule="auto"/>
        <w:ind w:firstLine="540"/>
        <w:jc w:val="left"/>
        <w:rPr>
          <w:rFonts w:hint="eastAsia" w:ascii="宋体" w:hAnsi="宋体"/>
          <w:sz w:val="24"/>
        </w:rPr>
      </w:pPr>
      <w:r>
        <w:rPr>
          <w:rFonts w:hint="eastAsia" w:ascii="宋体" w:hAnsi="宋体"/>
          <w:sz w:val="24"/>
          <w:lang w:val="en-US" w:eastAsia="zh-CN"/>
        </w:rPr>
        <w:t>响应人</w:t>
      </w:r>
      <w:r>
        <w:rPr>
          <w:rFonts w:hint="eastAsia" w:ascii="宋体" w:hAnsi="宋体"/>
          <w:sz w:val="24"/>
        </w:rPr>
        <w:t>：指在规定时间领取了</w:t>
      </w:r>
      <w:r>
        <w:rPr>
          <w:rFonts w:hint="eastAsia" w:ascii="宋体" w:hAnsi="宋体"/>
          <w:sz w:val="24"/>
          <w:lang w:eastAsia="zh-CN"/>
        </w:rPr>
        <w:t>竞争性磋商</w:t>
      </w:r>
      <w:r>
        <w:rPr>
          <w:rFonts w:hint="eastAsia" w:ascii="宋体" w:hAnsi="宋体"/>
          <w:sz w:val="24"/>
        </w:rPr>
        <w:t>文件并递交</w:t>
      </w:r>
      <w:r>
        <w:rPr>
          <w:rFonts w:hint="eastAsia" w:ascii="宋体" w:hAnsi="宋体"/>
          <w:sz w:val="24"/>
          <w:lang w:eastAsia="zh-CN"/>
        </w:rPr>
        <w:t>响应文件</w:t>
      </w:r>
      <w:r>
        <w:rPr>
          <w:rFonts w:hint="eastAsia" w:ascii="宋体" w:hAnsi="宋体"/>
          <w:sz w:val="24"/>
        </w:rPr>
        <w:t>的当事人。</w:t>
      </w:r>
    </w:p>
    <w:p>
      <w:pPr>
        <w:adjustRightInd w:val="0"/>
        <w:snapToGrid w:val="0"/>
        <w:spacing w:line="360" w:lineRule="auto"/>
        <w:ind w:firstLine="540"/>
        <w:jc w:val="left"/>
        <w:rPr>
          <w:rFonts w:hint="eastAsia" w:ascii="宋体" w:hAnsi="宋体"/>
          <w:sz w:val="24"/>
        </w:rPr>
      </w:pPr>
      <w:r>
        <w:rPr>
          <w:rFonts w:hint="eastAsia" w:ascii="宋体" w:hAnsi="宋体"/>
          <w:sz w:val="24"/>
          <w:lang w:val="en-US" w:eastAsia="zh-CN"/>
        </w:rPr>
        <w:t>成交</w:t>
      </w:r>
      <w:r>
        <w:rPr>
          <w:rFonts w:hint="eastAsia" w:ascii="宋体" w:hAnsi="宋体"/>
          <w:sz w:val="24"/>
        </w:rPr>
        <w:t>人：经</w:t>
      </w:r>
      <w:r>
        <w:rPr>
          <w:rFonts w:hint="eastAsia" w:ascii="宋体" w:hAnsi="宋体"/>
          <w:sz w:val="24"/>
          <w:lang w:val="en-US" w:eastAsia="zh-CN"/>
        </w:rPr>
        <w:t>采购</w:t>
      </w:r>
      <w:r>
        <w:rPr>
          <w:rFonts w:hint="eastAsia" w:ascii="宋体" w:hAnsi="宋体"/>
          <w:sz w:val="24"/>
        </w:rPr>
        <w:t>人确定并与</w:t>
      </w:r>
      <w:r>
        <w:rPr>
          <w:rFonts w:hint="eastAsia" w:ascii="宋体" w:hAnsi="宋体"/>
          <w:sz w:val="24"/>
          <w:lang w:val="en-US" w:eastAsia="zh-CN"/>
        </w:rPr>
        <w:t>采购人</w:t>
      </w:r>
      <w:r>
        <w:rPr>
          <w:rFonts w:hint="eastAsia" w:ascii="宋体" w:hAnsi="宋体"/>
          <w:sz w:val="24"/>
        </w:rPr>
        <w:t>签订</w:t>
      </w:r>
      <w:r>
        <w:rPr>
          <w:rFonts w:hint="eastAsia" w:ascii="宋体" w:hAnsi="宋体"/>
          <w:sz w:val="24"/>
          <w:lang w:val="en-US" w:eastAsia="zh-CN"/>
        </w:rPr>
        <w:t>招标代理委托</w:t>
      </w:r>
      <w:r>
        <w:rPr>
          <w:rFonts w:hint="eastAsia" w:ascii="宋体" w:hAnsi="宋体"/>
          <w:sz w:val="24"/>
        </w:rPr>
        <w:t>合同的当事人。</w:t>
      </w:r>
    </w:p>
    <w:p>
      <w:pPr>
        <w:adjustRightInd w:val="0"/>
        <w:snapToGrid w:val="0"/>
        <w:spacing w:line="360" w:lineRule="auto"/>
        <w:ind w:firstLine="540"/>
        <w:jc w:val="left"/>
        <w:rPr>
          <w:rFonts w:hint="eastAsia" w:ascii="宋体" w:hAnsi="宋体" w:eastAsia="宋体" w:cs="Times New Roman"/>
          <w:sz w:val="24"/>
          <w:lang w:val="en-US" w:eastAsia="zh-CN"/>
        </w:rPr>
      </w:pPr>
      <w:r>
        <w:rPr>
          <w:rFonts w:hint="eastAsia" w:ascii="宋体" w:hAnsi="宋体"/>
          <w:sz w:val="24"/>
        </w:rPr>
        <w:t>1.3</w:t>
      </w:r>
      <w:r>
        <w:rPr>
          <w:rFonts w:hint="eastAsia" w:ascii="宋体" w:hAnsi="宋体"/>
          <w:sz w:val="24"/>
          <w:lang w:eastAsia="zh-CN"/>
        </w:rPr>
        <w:t>竞争性磋商</w:t>
      </w:r>
      <w:r>
        <w:rPr>
          <w:rFonts w:hint="eastAsia" w:ascii="宋体" w:hAnsi="宋体"/>
          <w:sz w:val="24"/>
        </w:rPr>
        <w:t>内容：</w:t>
      </w:r>
      <w:r>
        <w:rPr>
          <w:rFonts w:hint="eastAsia" w:ascii="宋体" w:hAnsi="宋体"/>
          <w:sz w:val="24"/>
          <w:lang w:val="en-US" w:eastAsia="zh-CN"/>
        </w:rPr>
        <w:t>按采购人提供的项目评估服务范围、技术要求等，完成评估项目调查、报告编写、图件编制，负责组织对评估报告进行专家评审，按专家评审意见修改完善后，向甲方提交正式的区域压覆重要矿产资源评估报告成果资料，直至</w:t>
      </w:r>
      <w:r>
        <w:rPr>
          <w:rFonts w:hint="eastAsia" w:ascii="宋体" w:hAnsi="宋体"/>
          <w:sz w:val="24"/>
          <w:lang w:eastAsia="zh-CN"/>
        </w:rPr>
        <w:t>取得相关部门备案或批复</w:t>
      </w:r>
      <w:r>
        <w:rPr>
          <w:rFonts w:hint="eastAsia" w:ascii="宋体" w:hAnsi="宋体"/>
          <w:sz w:val="24"/>
          <w:lang w:val="en-US" w:eastAsia="zh-CN"/>
        </w:rPr>
        <w:t>完成的全部工作，并对其评估报告质量负责</w:t>
      </w:r>
      <w:r>
        <w:rPr>
          <w:rFonts w:hint="eastAsia" w:ascii="宋体" w:hAnsi="宋体" w:eastAsia="宋体" w:cs="Times New Roman"/>
          <w:sz w:val="24"/>
          <w:lang w:val="en-US" w:eastAsia="zh-CN"/>
        </w:rPr>
        <w:t>。</w:t>
      </w:r>
    </w:p>
    <w:p>
      <w:pPr>
        <w:adjustRightInd w:val="0"/>
        <w:snapToGrid w:val="0"/>
        <w:spacing w:line="360" w:lineRule="auto"/>
        <w:ind w:firstLine="54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1.4本次竞争性磋商程序如下：</w:t>
      </w:r>
    </w:p>
    <w:p>
      <w:pPr>
        <w:numPr>
          <w:ilvl w:val="0"/>
          <w:numId w:val="2"/>
        </w:numPr>
        <w:spacing w:line="360" w:lineRule="auto"/>
        <w:rPr>
          <w:rFonts w:hint="eastAsia" w:ascii="宋体" w:hAnsi="宋体"/>
          <w:sz w:val="24"/>
        </w:rPr>
      </w:pPr>
      <w:r>
        <w:rPr>
          <w:rFonts w:hint="eastAsia" w:ascii="宋体" w:hAnsi="宋体"/>
          <w:sz w:val="24"/>
        </w:rPr>
        <w:t>发布</w:t>
      </w:r>
      <w:r>
        <w:rPr>
          <w:rFonts w:hint="eastAsia" w:ascii="宋体" w:hAnsi="宋体"/>
          <w:sz w:val="24"/>
          <w:lang w:eastAsia="zh-CN"/>
        </w:rPr>
        <w:t>竞争性磋商</w:t>
      </w:r>
      <w:r>
        <w:rPr>
          <w:rFonts w:hint="eastAsia" w:ascii="宋体" w:hAnsi="宋体"/>
          <w:sz w:val="24"/>
          <w:lang w:val="en-US" w:eastAsia="zh-CN"/>
        </w:rPr>
        <w:t>公告和</w:t>
      </w:r>
      <w:r>
        <w:rPr>
          <w:rFonts w:hint="eastAsia" w:ascii="宋体" w:hAnsi="宋体"/>
          <w:sz w:val="24"/>
          <w:lang w:eastAsia="zh-CN"/>
        </w:rPr>
        <w:t>竞争性磋商</w:t>
      </w:r>
      <w:r>
        <w:rPr>
          <w:rFonts w:hint="eastAsia" w:ascii="宋体" w:hAnsi="宋体"/>
          <w:sz w:val="24"/>
        </w:rPr>
        <w:t>文件（含答疑文件）。</w:t>
      </w:r>
    </w:p>
    <w:p>
      <w:pPr>
        <w:numPr>
          <w:ilvl w:val="0"/>
          <w:numId w:val="2"/>
        </w:numPr>
        <w:spacing w:line="360" w:lineRule="auto"/>
        <w:rPr>
          <w:rFonts w:hint="eastAsia" w:ascii="宋体" w:hAnsi="宋体"/>
          <w:sz w:val="24"/>
        </w:rPr>
      </w:pPr>
      <w:r>
        <w:rPr>
          <w:rFonts w:hint="eastAsia" w:ascii="宋体" w:hAnsi="宋体"/>
          <w:sz w:val="24"/>
        </w:rPr>
        <w:t>召开</w:t>
      </w:r>
      <w:r>
        <w:rPr>
          <w:rFonts w:hint="eastAsia" w:ascii="宋体" w:hAnsi="宋体"/>
          <w:sz w:val="24"/>
          <w:lang w:eastAsia="zh-CN"/>
        </w:rPr>
        <w:t>竞争性磋商</w:t>
      </w:r>
      <w:r>
        <w:rPr>
          <w:rFonts w:hint="eastAsia" w:ascii="宋体" w:hAnsi="宋体"/>
          <w:sz w:val="24"/>
        </w:rPr>
        <w:t>会。</w:t>
      </w:r>
    </w:p>
    <w:p>
      <w:pPr>
        <w:numPr>
          <w:ilvl w:val="0"/>
          <w:numId w:val="2"/>
        </w:numPr>
        <w:spacing w:line="360" w:lineRule="auto"/>
        <w:rPr>
          <w:rFonts w:hint="eastAsia" w:ascii="宋体" w:hAnsi="宋体"/>
          <w:sz w:val="24"/>
        </w:rPr>
      </w:pPr>
      <w:r>
        <w:rPr>
          <w:rFonts w:hint="eastAsia" w:ascii="宋体" w:hAnsi="宋体"/>
          <w:sz w:val="24"/>
        </w:rPr>
        <w:t>汇总</w:t>
      </w:r>
      <w:r>
        <w:rPr>
          <w:rFonts w:hint="eastAsia" w:ascii="宋体" w:hAnsi="宋体"/>
          <w:sz w:val="24"/>
          <w:lang w:eastAsia="zh-CN"/>
        </w:rPr>
        <w:t>竞争性磋商</w:t>
      </w:r>
      <w:r>
        <w:rPr>
          <w:rFonts w:hint="eastAsia" w:ascii="宋体" w:hAnsi="宋体"/>
          <w:sz w:val="24"/>
        </w:rPr>
        <w:t>结果。</w:t>
      </w:r>
    </w:p>
    <w:p>
      <w:pPr>
        <w:numPr>
          <w:ilvl w:val="0"/>
          <w:numId w:val="2"/>
        </w:numPr>
        <w:spacing w:line="360" w:lineRule="auto"/>
        <w:rPr>
          <w:rFonts w:hint="eastAsia" w:ascii="宋体" w:hAnsi="宋体"/>
          <w:sz w:val="24"/>
        </w:rPr>
      </w:pPr>
      <w:r>
        <w:rPr>
          <w:rFonts w:hint="eastAsia" w:ascii="宋体" w:hAnsi="宋体"/>
          <w:sz w:val="24"/>
          <w:lang w:val="en-US" w:eastAsia="zh-CN"/>
        </w:rPr>
        <w:t>成交</w:t>
      </w:r>
      <w:r>
        <w:rPr>
          <w:rFonts w:hint="eastAsia" w:ascii="宋体" w:hAnsi="宋体"/>
          <w:sz w:val="24"/>
        </w:rPr>
        <w:t>公示。</w:t>
      </w:r>
    </w:p>
    <w:p>
      <w:pPr>
        <w:numPr>
          <w:ilvl w:val="0"/>
          <w:numId w:val="2"/>
        </w:numPr>
        <w:spacing w:line="360" w:lineRule="auto"/>
        <w:rPr>
          <w:rFonts w:hint="eastAsia" w:ascii="宋体" w:hAnsi="宋体" w:eastAsia="宋体" w:cs="Times New Roman"/>
          <w:sz w:val="24"/>
          <w:lang w:val="en-US" w:eastAsia="zh-CN"/>
        </w:rPr>
      </w:pPr>
      <w:r>
        <w:rPr>
          <w:rFonts w:hint="eastAsia" w:ascii="宋体" w:hAnsi="宋体"/>
          <w:sz w:val="24"/>
        </w:rPr>
        <w:t>定标发出</w:t>
      </w:r>
      <w:r>
        <w:rPr>
          <w:rFonts w:hint="eastAsia" w:ascii="宋体" w:hAnsi="宋体"/>
          <w:sz w:val="24"/>
          <w:lang w:val="en-US" w:eastAsia="zh-CN"/>
        </w:rPr>
        <w:t>成交</w:t>
      </w:r>
      <w:r>
        <w:rPr>
          <w:rFonts w:hint="eastAsia" w:ascii="宋体" w:hAnsi="宋体"/>
          <w:sz w:val="24"/>
        </w:rPr>
        <w:t>通知书。</w:t>
      </w:r>
    </w:p>
    <w:p>
      <w:pPr>
        <w:numPr>
          <w:ilvl w:val="0"/>
          <w:numId w:val="2"/>
        </w:num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签订委托合同。</w:t>
      </w:r>
    </w:p>
    <w:p>
      <w:pPr>
        <w:adjustRightInd w:val="0"/>
        <w:snapToGrid w:val="0"/>
        <w:spacing w:line="360" w:lineRule="auto"/>
        <w:ind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1.5竞争性磋商费用</w:t>
      </w:r>
    </w:p>
    <w:p>
      <w:pPr>
        <w:pStyle w:val="14"/>
        <w:adjustRightInd w:val="0"/>
        <w:snapToGrid w:val="0"/>
        <w:spacing w:line="360" w:lineRule="auto"/>
        <w:ind w:firstLine="461"/>
        <w:rPr>
          <w:rFonts w:hint="eastAsia"/>
          <w:sz w:val="24"/>
        </w:rPr>
      </w:pPr>
      <w:r>
        <w:rPr>
          <w:rFonts w:hint="eastAsia"/>
          <w:sz w:val="24"/>
        </w:rPr>
        <w:t>1.5.1</w:t>
      </w:r>
      <w:r>
        <w:rPr>
          <w:rFonts w:hint="eastAsia"/>
          <w:sz w:val="24"/>
          <w:lang w:eastAsia="zh-CN"/>
        </w:rPr>
        <w:t>响应人</w:t>
      </w:r>
      <w:r>
        <w:rPr>
          <w:rFonts w:hint="eastAsia"/>
          <w:sz w:val="24"/>
        </w:rPr>
        <w:t>自行承担其编制</w:t>
      </w:r>
      <w:r>
        <w:rPr>
          <w:rFonts w:hint="eastAsia"/>
          <w:sz w:val="24"/>
          <w:lang w:eastAsia="zh-CN"/>
        </w:rPr>
        <w:t>响应文件</w:t>
      </w:r>
      <w:r>
        <w:rPr>
          <w:rFonts w:hint="eastAsia"/>
          <w:sz w:val="24"/>
        </w:rPr>
        <w:t>及递交所涉及的一切费用。</w:t>
      </w:r>
    </w:p>
    <w:p>
      <w:pPr>
        <w:adjustRightInd w:val="0"/>
        <w:snapToGrid w:val="0"/>
        <w:spacing w:line="360" w:lineRule="auto"/>
        <w:ind w:firstLine="460" w:firstLineChars="192"/>
        <w:jc w:val="left"/>
        <w:rPr>
          <w:rFonts w:hint="eastAsia" w:ascii="宋体" w:hAnsi="宋体"/>
          <w:sz w:val="24"/>
        </w:rPr>
      </w:pPr>
      <w:r>
        <w:rPr>
          <w:rFonts w:hint="eastAsia" w:ascii="宋体" w:hAnsi="宋体"/>
          <w:sz w:val="24"/>
        </w:rPr>
        <w:t>1.6</w:t>
      </w:r>
      <w:r>
        <w:rPr>
          <w:rFonts w:hint="eastAsia" w:ascii="宋体" w:hAnsi="宋体"/>
          <w:sz w:val="24"/>
          <w:lang w:eastAsia="zh-CN"/>
        </w:rPr>
        <w:t>竞争性磋商</w:t>
      </w:r>
      <w:r>
        <w:rPr>
          <w:rFonts w:hint="eastAsia" w:ascii="宋体" w:hAnsi="宋体"/>
          <w:sz w:val="24"/>
        </w:rPr>
        <w:t>工作结束后，</w:t>
      </w:r>
      <w:r>
        <w:rPr>
          <w:rFonts w:hint="eastAsia" w:ascii="宋体" w:hAnsi="宋体"/>
          <w:sz w:val="24"/>
          <w:lang w:eastAsia="zh-CN"/>
        </w:rPr>
        <w:t>响应人</w:t>
      </w:r>
      <w:r>
        <w:rPr>
          <w:rFonts w:hint="eastAsia" w:ascii="宋体" w:hAnsi="宋体"/>
          <w:sz w:val="24"/>
        </w:rPr>
        <w:t>的</w:t>
      </w:r>
      <w:r>
        <w:rPr>
          <w:rFonts w:hint="eastAsia" w:ascii="宋体" w:hAnsi="宋体"/>
          <w:sz w:val="24"/>
          <w:lang w:val="en-US" w:eastAsia="zh-CN"/>
        </w:rPr>
        <w:t>磋商</w:t>
      </w:r>
      <w:r>
        <w:rPr>
          <w:rFonts w:hint="eastAsia" w:ascii="宋体" w:hAnsi="宋体"/>
          <w:sz w:val="24"/>
        </w:rPr>
        <w:t>资料均不退回。</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1.7</w:t>
      </w:r>
      <w:r>
        <w:rPr>
          <w:rFonts w:hint="eastAsia" w:ascii="宋体" w:hAnsi="宋体"/>
          <w:sz w:val="24"/>
          <w:lang w:eastAsia="zh-CN"/>
        </w:rPr>
        <w:t>采购人</w:t>
      </w:r>
      <w:r>
        <w:rPr>
          <w:rFonts w:hint="eastAsia" w:ascii="宋体" w:hAnsi="宋体"/>
          <w:sz w:val="24"/>
        </w:rPr>
        <w:t>不对未</w:t>
      </w:r>
      <w:r>
        <w:rPr>
          <w:rFonts w:hint="eastAsia" w:ascii="宋体" w:hAnsi="宋体"/>
          <w:sz w:val="24"/>
          <w:lang w:eastAsia="zh-CN"/>
        </w:rPr>
        <w:t>成交人</w:t>
      </w:r>
      <w:r>
        <w:rPr>
          <w:rFonts w:hint="eastAsia" w:ascii="宋体" w:hAnsi="宋体"/>
          <w:sz w:val="24"/>
        </w:rPr>
        <w:t>作任何解释。</w:t>
      </w:r>
    </w:p>
    <w:p>
      <w:pPr>
        <w:pStyle w:val="5"/>
        <w:bidi w:val="0"/>
        <w:rPr>
          <w:rFonts w:hint="eastAsia" w:ascii="宋体" w:hAnsi="宋体"/>
          <w:b/>
          <w:sz w:val="24"/>
        </w:rPr>
      </w:pPr>
      <w:bookmarkStart w:id="51" w:name="_Toc19230"/>
      <w:r>
        <w:rPr>
          <w:rFonts w:hint="eastAsia" w:ascii="宋体" w:hAnsi="宋体"/>
          <w:b/>
          <w:sz w:val="24"/>
        </w:rPr>
        <w:t>2.</w:t>
      </w:r>
      <w:r>
        <w:rPr>
          <w:rFonts w:hint="eastAsia" w:ascii="宋体" w:hAnsi="宋体"/>
          <w:b/>
          <w:sz w:val="24"/>
          <w:lang w:eastAsia="zh-CN"/>
        </w:rPr>
        <w:t>竞争性磋商</w:t>
      </w:r>
      <w:r>
        <w:rPr>
          <w:rFonts w:hint="eastAsia" w:ascii="宋体" w:hAnsi="宋体"/>
          <w:b/>
          <w:sz w:val="24"/>
        </w:rPr>
        <w:t>文件</w:t>
      </w:r>
      <w:bookmarkEnd w:id="51"/>
    </w:p>
    <w:p>
      <w:pPr>
        <w:adjustRightInd w:val="0"/>
        <w:snapToGrid w:val="0"/>
        <w:spacing w:line="360" w:lineRule="auto"/>
        <w:ind w:firstLine="540"/>
        <w:jc w:val="left"/>
        <w:rPr>
          <w:rFonts w:hint="eastAsia" w:ascii="宋体" w:hAnsi="宋体"/>
          <w:sz w:val="24"/>
        </w:rPr>
      </w:pPr>
      <w:r>
        <w:rPr>
          <w:rFonts w:hint="eastAsia" w:ascii="宋体" w:hAnsi="宋体"/>
          <w:sz w:val="24"/>
        </w:rPr>
        <w:t>2.1</w:t>
      </w:r>
      <w:r>
        <w:rPr>
          <w:rFonts w:hint="eastAsia" w:ascii="宋体" w:hAnsi="宋体"/>
          <w:sz w:val="24"/>
          <w:lang w:eastAsia="zh-CN"/>
        </w:rPr>
        <w:t>竞争性磋商</w:t>
      </w:r>
      <w:r>
        <w:rPr>
          <w:rFonts w:hint="eastAsia" w:ascii="宋体" w:hAnsi="宋体"/>
          <w:sz w:val="24"/>
        </w:rPr>
        <w:t>文件的组成</w:t>
      </w:r>
    </w:p>
    <w:p>
      <w:pPr>
        <w:adjustRightInd w:val="0"/>
        <w:snapToGrid w:val="0"/>
        <w:spacing w:line="360" w:lineRule="auto"/>
        <w:ind w:firstLine="540"/>
        <w:jc w:val="left"/>
        <w:rPr>
          <w:rFonts w:hint="eastAsia" w:ascii="宋体" w:hAnsi="宋体"/>
          <w:sz w:val="24"/>
          <w:lang w:eastAsia="zh-CN"/>
        </w:rPr>
      </w:pPr>
      <w:r>
        <w:rPr>
          <w:rFonts w:hint="eastAsia" w:ascii="宋体" w:hAnsi="宋体"/>
          <w:sz w:val="24"/>
        </w:rPr>
        <w:t>2.1.1本</w:t>
      </w:r>
      <w:r>
        <w:rPr>
          <w:rFonts w:hint="eastAsia" w:ascii="宋体" w:hAnsi="宋体"/>
          <w:sz w:val="24"/>
          <w:lang w:eastAsia="zh-CN"/>
        </w:rPr>
        <w:t>竞争性磋商</w:t>
      </w:r>
      <w:r>
        <w:rPr>
          <w:rFonts w:hint="eastAsia" w:ascii="宋体" w:hAnsi="宋体"/>
          <w:sz w:val="24"/>
        </w:rPr>
        <w:t>文</w:t>
      </w:r>
      <w:r>
        <w:rPr>
          <w:rFonts w:hint="eastAsia" w:ascii="宋体" w:hAnsi="宋体"/>
          <w:sz w:val="24"/>
          <w:lang w:eastAsia="zh-CN"/>
        </w:rPr>
        <w:t>件包括下列文件及发出的相应补充资料：</w:t>
      </w:r>
    </w:p>
    <w:p>
      <w:pPr>
        <w:adjustRightInd w:val="0"/>
        <w:snapToGrid w:val="0"/>
        <w:spacing w:line="360" w:lineRule="auto"/>
        <w:ind w:firstLine="540"/>
        <w:jc w:val="left"/>
        <w:rPr>
          <w:rFonts w:hint="eastAsia" w:ascii="宋体" w:hAnsi="宋体"/>
          <w:sz w:val="24"/>
          <w:lang w:eastAsia="zh-CN"/>
        </w:rPr>
      </w:pPr>
      <w:r>
        <w:rPr>
          <w:rFonts w:hint="eastAsia" w:ascii="宋体" w:hAnsi="宋体"/>
          <w:sz w:val="24"/>
          <w:lang w:val="en-US" w:eastAsia="zh-CN"/>
        </w:rPr>
        <w:t xml:space="preserve">第一章 </w:t>
      </w:r>
      <w:r>
        <w:rPr>
          <w:rFonts w:hint="eastAsia" w:ascii="宋体" w:hAnsi="宋体"/>
          <w:sz w:val="24"/>
          <w:lang w:eastAsia="zh-CN"/>
        </w:rPr>
        <w:t>竞争性磋商须知</w:t>
      </w:r>
    </w:p>
    <w:p>
      <w:pPr>
        <w:adjustRightInd w:val="0"/>
        <w:snapToGrid w:val="0"/>
        <w:spacing w:line="360" w:lineRule="auto"/>
        <w:ind w:firstLine="540"/>
        <w:jc w:val="left"/>
        <w:rPr>
          <w:rFonts w:hint="eastAsia" w:ascii="宋体" w:hAnsi="宋体"/>
          <w:sz w:val="24"/>
          <w:lang w:eastAsia="zh-CN"/>
        </w:rPr>
      </w:pPr>
      <w:r>
        <w:rPr>
          <w:rFonts w:hint="eastAsia" w:ascii="宋体" w:hAnsi="宋体"/>
          <w:sz w:val="24"/>
          <w:lang w:val="en-US" w:eastAsia="zh-CN"/>
        </w:rPr>
        <w:t>第二章 技术要求及商务要求</w:t>
      </w:r>
    </w:p>
    <w:p>
      <w:pPr>
        <w:adjustRightInd w:val="0"/>
        <w:snapToGrid w:val="0"/>
        <w:spacing w:line="360" w:lineRule="auto"/>
        <w:ind w:firstLine="540"/>
        <w:jc w:val="left"/>
        <w:rPr>
          <w:rFonts w:hint="eastAsia" w:ascii="宋体" w:hAnsi="宋体"/>
          <w:sz w:val="24"/>
          <w:lang w:eastAsia="zh-CN"/>
        </w:rPr>
      </w:pPr>
      <w:r>
        <w:rPr>
          <w:rFonts w:hint="eastAsia" w:ascii="宋体" w:hAnsi="宋体"/>
          <w:sz w:val="24"/>
          <w:lang w:eastAsia="zh-CN"/>
        </w:rPr>
        <w:t>第</w:t>
      </w:r>
      <w:r>
        <w:rPr>
          <w:rFonts w:hint="eastAsia" w:ascii="宋体" w:hAnsi="宋体"/>
          <w:sz w:val="24"/>
          <w:lang w:val="en-US" w:eastAsia="zh-CN"/>
        </w:rPr>
        <w:t>三</w:t>
      </w:r>
      <w:r>
        <w:rPr>
          <w:rFonts w:hint="eastAsia" w:ascii="宋体" w:hAnsi="宋体"/>
          <w:sz w:val="24"/>
          <w:lang w:eastAsia="zh-CN"/>
        </w:rPr>
        <w:t>章 响应文件组成</w:t>
      </w:r>
    </w:p>
    <w:p>
      <w:pPr>
        <w:adjustRightInd w:val="0"/>
        <w:snapToGrid w:val="0"/>
        <w:spacing w:line="360" w:lineRule="auto"/>
        <w:ind w:firstLine="540"/>
        <w:jc w:val="left"/>
        <w:rPr>
          <w:rFonts w:hint="eastAsia" w:ascii="宋体" w:hAnsi="宋体"/>
          <w:sz w:val="24"/>
          <w:lang w:eastAsia="zh-CN"/>
        </w:rPr>
      </w:pPr>
      <w:r>
        <w:rPr>
          <w:rFonts w:hint="eastAsia" w:ascii="宋体" w:hAnsi="宋体"/>
          <w:sz w:val="24"/>
          <w:lang w:eastAsia="zh-CN"/>
        </w:rPr>
        <w:t>第</w:t>
      </w:r>
      <w:r>
        <w:rPr>
          <w:rFonts w:hint="eastAsia" w:ascii="宋体" w:hAnsi="宋体"/>
          <w:sz w:val="24"/>
          <w:lang w:val="en-US" w:eastAsia="zh-CN"/>
        </w:rPr>
        <w:t>四</w:t>
      </w:r>
      <w:r>
        <w:rPr>
          <w:rFonts w:hint="eastAsia" w:ascii="宋体" w:hAnsi="宋体"/>
          <w:sz w:val="24"/>
          <w:lang w:eastAsia="zh-CN"/>
        </w:rPr>
        <w:t>章 评审办法</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2.1.2</w:t>
      </w:r>
      <w:r>
        <w:rPr>
          <w:rFonts w:hint="eastAsia" w:ascii="宋体" w:hAnsi="宋体"/>
          <w:sz w:val="24"/>
          <w:lang w:eastAsia="zh-CN"/>
        </w:rPr>
        <w:t>竞争性磋商</w:t>
      </w:r>
      <w:r>
        <w:rPr>
          <w:rFonts w:hint="eastAsia" w:ascii="宋体" w:hAnsi="宋体"/>
          <w:sz w:val="24"/>
        </w:rPr>
        <w:t>文件及补充资料前后有矛盾的，以时间在后的为准。</w:t>
      </w:r>
    </w:p>
    <w:p>
      <w:pPr>
        <w:adjustRightInd w:val="0"/>
        <w:snapToGrid w:val="0"/>
        <w:spacing w:line="360" w:lineRule="auto"/>
        <w:ind w:firstLine="539"/>
        <w:jc w:val="left"/>
        <w:rPr>
          <w:rFonts w:hint="eastAsia" w:ascii="宋体" w:hAnsi="宋体"/>
          <w:sz w:val="24"/>
        </w:rPr>
      </w:pPr>
      <w:r>
        <w:rPr>
          <w:rFonts w:hint="eastAsia" w:ascii="宋体" w:hAnsi="宋体"/>
          <w:sz w:val="24"/>
        </w:rPr>
        <w:t>2.2</w:t>
      </w:r>
      <w:r>
        <w:rPr>
          <w:rFonts w:hint="eastAsia" w:ascii="宋体" w:hAnsi="宋体"/>
          <w:sz w:val="24"/>
          <w:lang w:eastAsia="zh-CN"/>
        </w:rPr>
        <w:t>响应人</w:t>
      </w:r>
      <w:r>
        <w:rPr>
          <w:rFonts w:hint="eastAsia" w:ascii="宋体" w:hAnsi="宋体"/>
          <w:sz w:val="24"/>
        </w:rPr>
        <w:t>应认真审阅</w:t>
      </w:r>
      <w:r>
        <w:rPr>
          <w:rFonts w:hint="eastAsia" w:ascii="宋体" w:hAnsi="宋体"/>
          <w:sz w:val="24"/>
          <w:lang w:eastAsia="zh-CN"/>
        </w:rPr>
        <w:t>竞争性磋商</w:t>
      </w:r>
      <w:r>
        <w:rPr>
          <w:rFonts w:hint="eastAsia" w:ascii="宋体" w:hAnsi="宋体"/>
          <w:sz w:val="24"/>
        </w:rPr>
        <w:t>文件中所有的</w:t>
      </w:r>
      <w:r>
        <w:rPr>
          <w:rFonts w:hint="eastAsia" w:ascii="宋体" w:hAnsi="宋体"/>
          <w:sz w:val="24"/>
          <w:lang w:val="en-US" w:eastAsia="zh-CN"/>
        </w:rPr>
        <w:t>内容</w:t>
      </w:r>
      <w:r>
        <w:rPr>
          <w:rFonts w:hint="eastAsia" w:ascii="宋体" w:hAnsi="宋体"/>
          <w:sz w:val="24"/>
        </w:rPr>
        <w:t>，如果</w:t>
      </w:r>
      <w:r>
        <w:rPr>
          <w:rFonts w:hint="eastAsia" w:ascii="宋体" w:hAnsi="宋体"/>
          <w:sz w:val="24"/>
          <w:lang w:eastAsia="zh-CN"/>
        </w:rPr>
        <w:t>响应人</w:t>
      </w:r>
      <w:r>
        <w:rPr>
          <w:rFonts w:hint="eastAsia" w:ascii="宋体" w:hAnsi="宋体"/>
          <w:sz w:val="24"/>
        </w:rPr>
        <w:t>未按</w:t>
      </w:r>
      <w:r>
        <w:rPr>
          <w:rFonts w:hint="eastAsia" w:ascii="宋体" w:hAnsi="宋体"/>
          <w:sz w:val="24"/>
          <w:lang w:eastAsia="zh-CN"/>
        </w:rPr>
        <w:t>竞争性磋商</w:t>
      </w:r>
      <w:r>
        <w:rPr>
          <w:rFonts w:hint="eastAsia" w:ascii="宋体" w:hAnsi="宋体"/>
          <w:sz w:val="24"/>
        </w:rPr>
        <w:t>文件要求编制或陈列附件的，其</w:t>
      </w:r>
      <w:r>
        <w:rPr>
          <w:rFonts w:hint="eastAsia" w:ascii="宋体" w:hAnsi="宋体"/>
          <w:sz w:val="24"/>
          <w:lang w:eastAsia="zh-CN"/>
        </w:rPr>
        <w:t>响应文件</w:t>
      </w:r>
      <w:r>
        <w:rPr>
          <w:rFonts w:hint="eastAsia" w:ascii="宋体" w:hAnsi="宋体"/>
          <w:sz w:val="24"/>
        </w:rPr>
        <w:t>将被视为不合格并取消</w:t>
      </w:r>
      <w:r>
        <w:rPr>
          <w:rFonts w:hint="eastAsia" w:ascii="宋体" w:hAnsi="宋体"/>
          <w:sz w:val="24"/>
          <w:lang w:val="en-US" w:eastAsia="zh-CN"/>
        </w:rPr>
        <w:t>磋商</w:t>
      </w:r>
      <w:r>
        <w:rPr>
          <w:rFonts w:hint="eastAsia" w:ascii="宋体" w:hAnsi="宋体"/>
          <w:sz w:val="24"/>
        </w:rPr>
        <w:t>资格。</w:t>
      </w:r>
    </w:p>
    <w:p>
      <w:pPr>
        <w:adjustRightInd w:val="0"/>
        <w:snapToGrid w:val="0"/>
        <w:spacing w:line="360" w:lineRule="auto"/>
        <w:ind w:firstLine="540"/>
        <w:jc w:val="left"/>
        <w:rPr>
          <w:rFonts w:hint="eastAsia" w:ascii="宋体" w:hAnsi="宋体"/>
          <w:sz w:val="24"/>
        </w:rPr>
      </w:pPr>
      <w:r>
        <w:rPr>
          <w:rFonts w:hint="eastAsia" w:ascii="宋体" w:hAnsi="宋体"/>
          <w:sz w:val="24"/>
        </w:rPr>
        <w:t>2.3</w:t>
      </w:r>
      <w:r>
        <w:rPr>
          <w:rFonts w:hint="eastAsia" w:ascii="宋体" w:hAnsi="宋体"/>
          <w:sz w:val="24"/>
          <w:lang w:eastAsia="zh-CN"/>
        </w:rPr>
        <w:t>竞争性磋商</w:t>
      </w:r>
      <w:r>
        <w:rPr>
          <w:rFonts w:hint="eastAsia" w:ascii="宋体" w:hAnsi="宋体"/>
          <w:sz w:val="24"/>
        </w:rPr>
        <w:t>文件的解释</w:t>
      </w:r>
    </w:p>
    <w:p>
      <w:pPr>
        <w:adjustRightInd w:val="0"/>
        <w:snapToGrid w:val="0"/>
        <w:spacing w:line="360" w:lineRule="auto"/>
        <w:ind w:firstLine="540"/>
        <w:jc w:val="left"/>
        <w:rPr>
          <w:rFonts w:hint="eastAsia" w:ascii="宋体" w:hAnsi="宋体"/>
          <w:sz w:val="24"/>
        </w:rPr>
      </w:pPr>
      <w:r>
        <w:rPr>
          <w:rFonts w:hint="eastAsia" w:ascii="宋体" w:hAnsi="宋体"/>
          <w:sz w:val="24"/>
        </w:rPr>
        <w:t>2.3.1本</w:t>
      </w:r>
      <w:r>
        <w:rPr>
          <w:rFonts w:hint="eastAsia" w:ascii="宋体" w:hAnsi="宋体"/>
          <w:sz w:val="24"/>
          <w:lang w:eastAsia="zh-CN"/>
        </w:rPr>
        <w:t>竞争性磋商</w:t>
      </w:r>
      <w:r>
        <w:rPr>
          <w:rFonts w:hint="eastAsia" w:ascii="宋体" w:hAnsi="宋体"/>
          <w:sz w:val="24"/>
        </w:rPr>
        <w:t>文件由</w:t>
      </w:r>
      <w:r>
        <w:rPr>
          <w:rFonts w:hint="eastAsia" w:ascii="宋体" w:hAnsi="宋体"/>
          <w:sz w:val="24"/>
          <w:lang w:eastAsia="zh-CN"/>
        </w:rPr>
        <w:t>观山湖区现代制造业产业发展办公室</w:t>
      </w:r>
      <w:r>
        <w:rPr>
          <w:rFonts w:hint="eastAsia" w:ascii="宋体" w:hAnsi="宋体"/>
          <w:sz w:val="24"/>
        </w:rPr>
        <w:t>负责解释。</w:t>
      </w:r>
    </w:p>
    <w:p>
      <w:pPr>
        <w:adjustRightInd w:val="0"/>
        <w:snapToGrid w:val="0"/>
        <w:spacing w:line="360" w:lineRule="auto"/>
        <w:ind w:firstLine="540"/>
        <w:jc w:val="left"/>
        <w:rPr>
          <w:rFonts w:hint="eastAsia" w:ascii="宋体" w:hAnsi="宋体"/>
          <w:sz w:val="24"/>
        </w:rPr>
      </w:pPr>
      <w:r>
        <w:rPr>
          <w:rFonts w:hint="eastAsia" w:ascii="宋体" w:hAnsi="宋体"/>
          <w:sz w:val="24"/>
        </w:rPr>
        <w:t>2.3.2</w:t>
      </w:r>
      <w:r>
        <w:rPr>
          <w:rFonts w:hint="eastAsia" w:ascii="宋体" w:hAnsi="宋体"/>
          <w:sz w:val="24"/>
          <w:lang w:eastAsia="zh-CN"/>
        </w:rPr>
        <w:t>响应人</w:t>
      </w:r>
      <w:r>
        <w:rPr>
          <w:rFonts w:hint="eastAsia" w:ascii="宋体" w:hAnsi="宋体"/>
          <w:sz w:val="24"/>
        </w:rPr>
        <w:t>在收到</w:t>
      </w:r>
      <w:r>
        <w:rPr>
          <w:rFonts w:hint="eastAsia" w:ascii="宋体" w:hAnsi="宋体"/>
          <w:sz w:val="24"/>
          <w:lang w:eastAsia="zh-CN"/>
        </w:rPr>
        <w:t>竞争性磋商</w:t>
      </w:r>
      <w:r>
        <w:rPr>
          <w:rFonts w:hint="eastAsia" w:ascii="宋体" w:hAnsi="宋体"/>
          <w:sz w:val="24"/>
        </w:rPr>
        <w:t>文件后，若有问题需要澄清，应在收到</w:t>
      </w:r>
      <w:r>
        <w:rPr>
          <w:rFonts w:hint="eastAsia" w:ascii="宋体" w:hAnsi="宋体"/>
          <w:sz w:val="24"/>
          <w:lang w:eastAsia="zh-CN"/>
        </w:rPr>
        <w:t>竞争性磋商</w:t>
      </w:r>
      <w:r>
        <w:rPr>
          <w:rFonts w:hint="eastAsia" w:ascii="宋体" w:hAnsi="宋体"/>
          <w:sz w:val="24"/>
        </w:rPr>
        <w:t>文件后24</w:t>
      </w:r>
      <w:r>
        <w:rPr>
          <w:rFonts w:hint="eastAsia" w:ascii="宋体" w:hAnsi="宋体"/>
          <w:sz w:val="24"/>
          <w:lang w:val="en-US" w:eastAsia="zh-CN"/>
        </w:rPr>
        <w:t>小时</w:t>
      </w:r>
      <w:r>
        <w:rPr>
          <w:rFonts w:hint="eastAsia" w:ascii="宋体" w:hAnsi="宋体"/>
          <w:sz w:val="24"/>
        </w:rPr>
        <w:t>内，以书面形式（包括书面文字、传真等，下同）向</w:t>
      </w:r>
      <w:r>
        <w:rPr>
          <w:rFonts w:hint="eastAsia" w:ascii="宋体" w:hAnsi="宋体"/>
          <w:sz w:val="24"/>
          <w:lang w:eastAsia="zh-CN"/>
        </w:rPr>
        <w:t>采购人</w:t>
      </w:r>
      <w:r>
        <w:rPr>
          <w:rFonts w:hint="eastAsia" w:ascii="宋体" w:hAnsi="宋体"/>
          <w:spacing w:val="-4"/>
          <w:sz w:val="24"/>
        </w:rPr>
        <w:t>提出，</w:t>
      </w:r>
      <w:r>
        <w:rPr>
          <w:rFonts w:hint="eastAsia" w:ascii="宋体" w:hAnsi="宋体"/>
          <w:spacing w:val="-4"/>
          <w:sz w:val="24"/>
          <w:lang w:eastAsia="zh-CN"/>
        </w:rPr>
        <w:t>采购人</w:t>
      </w:r>
      <w:r>
        <w:rPr>
          <w:rFonts w:hint="eastAsia" w:ascii="宋体" w:hAnsi="宋体"/>
          <w:spacing w:val="-4"/>
          <w:sz w:val="24"/>
        </w:rPr>
        <w:t>在24</w:t>
      </w:r>
      <w:r>
        <w:rPr>
          <w:rFonts w:hint="eastAsia" w:ascii="宋体" w:hAnsi="宋体"/>
          <w:spacing w:val="-4"/>
          <w:sz w:val="24"/>
          <w:lang w:val="en-US" w:eastAsia="zh-CN"/>
        </w:rPr>
        <w:t>小时</w:t>
      </w:r>
      <w:r>
        <w:rPr>
          <w:rFonts w:hint="eastAsia" w:ascii="宋体" w:hAnsi="宋体"/>
          <w:spacing w:val="-4"/>
          <w:sz w:val="24"/>
        </w:rPr>
        <w:t>内将以书面形式予以解答。答疑文件发布</w:t>
      </w:r>
      <w:r>
        <w:rPr>
          <w:rFonts w:hint="eastAsia" w:ascii="宋体" w:hAnsi="宋体"/>
          <w:spacing w:val="-4"/>
          <w:sz w:val="24"/>
          <w:lang w:val="en-US" w:eastAsia="zh-CN"/>
        </w:rPr>
        <w:t>网站同竞争性磋商公告发布网站</w:t>
      </w:r>
      <w:r>
        <w:rPr>
          <w:rFonts w:hint="eastAsia" w:ascii="宋体" w:hAnsi="宋体"/>
          <w:spacing w:val="-4"/>
          <w:sz w:val="24"/>
        </w:rPr>
        <w:t>。</w:t>
      </w:r>
    </w:p>
    <w:p>
      <w:pPr>
        <w:pStyle w:val="5"/>
        <w:bidi w:val="0"/>
        <w:rPr>
          <w:rFonts w:hint="eastAsia" w:ascii="宋体" w:hAnsi="宋体" w:eastAsia="宋体"/>
          <w:b/>
          <w:sz w:val="24"/>
          <w:lang w:eastAsia="zh-CN"/>
        </w:rPr>
      </w:pPr>
      <w:bookmarkStart w:id="52" w:name="_Toc28459"/>
      <w:r>
        <w:rPr>
          <w:rFonts w:hint="eastAsia" w:ascii="宋体" w:hAnsi="宋体"/>
          <w:b/>
          <w:sz w:val="24"/>
        </w:rPr>
        <w:t>3.</w:t>
      </w:r>
      <w:r>
        <w:rPr>
          <w:rFonts w:hint="eastAsia" w:ascii="宋体" w:hAnsi="宋体"/>
          <w:b/>
          <w:sz w:val="24"/>
          <w:lang w:eastAsia="zh-CN"/>
        </w:rPr>
        <w:t>响应文件</w:t>
      </w:r>
      <w:bookmarkEnd w:id="52"/>
    </w:p>
    <w:p>
      <w:pPr>
        <w:adjustRightInd w:val="0"/>
        <w:snapToGrid w:val="0"/>
        <w:spacing w:line="360" w:lineRule="auto"/>
        <w:jc w:val="left"/>
        <w:rPr>
          <w:rFonts w:hint="eastAsia" w:ascii="宋体" w:hAnsi="宋体"/>
          <w:spacing w:val="-20"/>
          <w:sz w:val="24"/>
        </w:rPr>
      </w:pPr>
      <w:r>
        <w:rPr>
          <w:rFonts w:hint="eastAsia" w:ascii="宋体" w:hAnsi="宋体"/>
          <w:sz w:val="24"/>
        </w:rPr>
        <w:t xml:space="preserve">    3.1</w:t>
      </w:r>
      <w:r>
        <w:rPr>
          <w:rFonts w:hint="eastAsia" w:ascii="宋体" w:hAnsi="宋体"/>
          <w:sz w:val="24"/>
          <w:lang w:eastAsia="zh-CN"/>
        </w:rPr>
        <w:t>响应文件</w:t>
      </w:r>
      <w:r>
        <w:rPr>
          <w:rFonts w:hint="eastAsia" w:ascii="宋体" w:hAnsi="宋体"/>
          <w:sz w:val="24"/>
        </w:rPr>
        <w:t>的组成</w:t>
      </w:r>
    </w:p>
    <w:p>
      <w:pPr>
        <w:adjustRightInd w:val="0"/>
        <w:snapToGrid w:val="0"/>
        <w:spacing w:line="360" w:lineRule="auto"/>
        <w:ind w:firstLine="480"/>
        <w:jc w:val="left"/>
        <w:rPr>
          <w:rFonts w:hint="eastAsia" w:ascii="宋体" w:hAnsi="宋体"/>
          <w:sz w:val="24"/>
        </w:rPr>
      </w:pPr>
      <w:r>
        <w:rPr>
          <w:rFonts w:hint="eastAsia" w:ascii="宋体" w:hAnsi="宋体"/>
          <w:sz w:val="24"/>
        </w:rPr>
        <w:t>3.1.1</w:t>
      </w:r>
      <w:r>
        <w:rPr>
          <w:rFonts w:hint="eastAsia" w:ascii="宋体" w:hAnsi="宋体"/>
          <w:sz w:val="24"/>
          <w:lang w:eastAsia="zh-CN"/>
        </w:rPr>
        <w:t>响应人</w:t>
      </w:r>
      <w:r>
        <w:rPr>
          <w:rFonts w:hint="eastAsia" w:ascii="宋体" w:hAnsi="宋体"/>
          <w:sz w:val="24"/>
        </w:rPr>
        <w:t>的</w:t>
      </w:r>
      <w:r>
        <w:rPr>
          <w:rFonts w:hint="eastAsia" w:ascii="宋体" w:hAnsi="宋体"/>
          <w:sz w:val="24"/>
          <w:lang w:eastAsia="zh-CN"/>
        </w:rPr>
        <w:t>响应文件</w:t>
      </w:r>
      <w:r>
        <w:rPr>
          <w:rFonts w:hint="eastAsia" w:ascii="宋体" w:hAnsi="宋体"/>
          <w:sz w:val="24"/>
        </w:rPr>
        <w:t>至少应包括但不限于</w:t>
      </w:r>
      <w:r>
        <w:rPr>
          <w:rFonts w:hint="eastAsia" w:ascii="宋体" w:hAnsi="宋体"/>
          <w:sz w:val="24"/>
          <w:lang w:eastAsia="zh-CN"/>
        </w:rPr>
        <w:t>竞争性磋商</w:t>
      </w:r>
      <w:r>
        <w:rPr>
          <w:rFonts w:hint="eastAsia" w:ascii="宋体" w:hAnsi="宋体"/>
          <w:sz w:val="24"/>
        </w:rPr>
        <w:t>文件要求的全部内容。</w:t>
      </w:r>
    </w:p>
    <w:p>
      <w:pPr>
        <w:adjustRightInd w:val="0"/>
        <w:snapToGrid w:val="0"/>
        <w:spacing w:line="360" w:lineRule="auto"/>
        <w:ind w:firstLine="480" w:firstLineChars="200"/>
        <w:jc w:val="left"/>
        <w:rPr>
          <w:rFonts w:hint="eastAsia" w:ascii="宋体" w:hAnsi="宋体"/>
          <w:bCs/>
          <w:sz w:val="24"/>
        </w:rPr>
      </w:pPr>
      <w:r>
        <w:rPr>
          <w:rFonts w:hint="eastAsia" w:ascii="宋体" w:hAnsi="宋体"/>
          <w:bCs/>
          <w:sz w:val="24"/>
        </w:rPr>
        <w:t>3.1.2</w:t>
      </w:r>
      <w:r>
        <w:rPr>
          <w:rFonts w:hint="eastAsia" w:ascii="宋体" w:hAnsi="宋体"/>
          <w:bCs/>
          <w:sz w:val="24"/>
          <w:lang w:eastAsia="zh-CN"/>
        </w:rPr>
        <w:t>响应文件</w:t>
      </w:r>
      <w:r>
        <w:rPr>
          <w:rFonts w:hint="eastAsia" w:ascii="宋体" w:hAnsi="宋体"/>
          <w:bCs/>
          <w:sz w:val="24"/>
        </w:rPr>
        <w:t>用A4纸打印装订成册</w:t>
      </w:r>
      <w:r>
        <w:rPr>
          <w:rFonts w:hint="eastAsia" w:ascii="宋体" w:hAnsi="宋体"/>
          <w:bCs/>
          <w:sz w:val="24"/>
          <w:lang w:eastAsia="zh-CN"/>
        </w:rPr>
        <w:t>，</w:t>
      </w:r>
      <w:r>
        <w:rPr>
          <w:rFonts w:hint="eastAsia" w:ascii="宋体" w:hAnsi="宋体"/>
          <w:bCs/>
          <w:sz w:val="24"/>
          <w:lang w:val="en-US" w:eastAsia="zh-CN"/>
        </w:rPr>
        <w:t>单面或双面打印均可</w:t>
      </w:r>
      <w:r>
        <w:rPr>
          <w:rFonts w:hint="eastAsia" w:ascii="宋体" w:hAnsi="宋体"/>
          <w:bCs/>
          <w:sz w:val="24"/>
        </w:rPr>
        <w:t>。</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3.1.3所有</w:t>
      </w:r>
      <w:r>
        <w:rPr>
          <w:rFonts w:hint="eastAsia" w:ascii="宋体" w:hAnsi="宋体"/>
          <w:sz w:val="24"/>
          <w:lang w:eastAsia="zh-CN"/>
        </w:rPr>
        <w:t>响应文件</w:t>
      </w:r>
      <w:r>
        <w:rPr>
          <w:rFonts w:hint="eastAsia" w:ascii="宋体" w:hAnsi="宋体"/>
          <w:sz w:val="24"/>
        </w:rPr>
        <w:t>均应真实、完整、准确；若发现有隐瞒、欺诈行为，将取消其</w:t>
      </w:r>
      <w:r>
        <w:rPr>
          <w:rFonts w:hint="eastAsia" w:ascii="宋体" w:hAnsi="宋体"/>
          <w:sz w:val="24"/>
          <w:lang w:val="en-US" w:eastAsia="zh-CN"/>
        </w:rPr>
        <w:t>磋商</w:t>
      </w:r>
      <w:r>
        <w:rPr>
          <w:rFonts w:hint="eastAsia" w:ascii="宋体" w:hAnsi="宋体"/>
          <w:sz w:val="24"/>
        </w:rPr>
        <w:t>资格，如</w:t>
      </w:r>
      <w:r>
        <w:rPr>
          <w:rFonts w:hint="eastAsia" w:ascii="宋体" w:hAnsi="宋体"/>
          <w:sz w:val="24"/>
          <w:lang w:eastAsia="zh-CN"/>
        </w:rPr>
        <w:t>成交</w:t>
      </w:r>
      <w:r>
        <w:rPr>
          <w:rFonts w:hint="eastAsia" w:ascii="宋体" w:hAnsi="宋体"/>
          <w:sz w:val="24"/>
        </w:rPr>
        <w:t>，</w:t>
      </w:r>
      <w:r>
        <w:rPr>
          <w:rFonts w:hint="eastAsia" w:ascii="宋体" w:hAnsi="宋体"/>
          <w:sz w:val="24"/>
          <w:lang w:eastAsia="zh-CN"/>
        </w:rPr>
        <w:t>采购人</w:t>
      </w:r>
      <w:r>
        <w:rPr>
          <w:rFonts w:hint="eastAsia" w:ascii="宋体" w:hAnsi="宋体"/>
          <w:sz w:val="24"/>
        </w:rPr>
        <w:t>将取消其</w:t>
      </w:r>
      <w:r>
        <w:rPr>
          <w:rFonts w:hint="eastAsia" w:ascii="宋体" w:hAnsi="宋体"/>
          <w:sz w:val="24"/>
          <w:lang w:eastAsia="zh-CN"/>
        </w:rPr>
        <w:t>成交</w:t>
      </w:r>
      <w:r>
        <w:rPr>
          <w:rFonts w:hint="eastAsia" w:ascii="宋体" w:hAnsi="宋体"/>
          <w:sz w:val="24"/>
        </w:rPr>
        <w:t>资格，拒绝签订合同，并保留通过法律追究其责任的权力。</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3.2</w:t>
      </w:r>
      <w:r>
        <w:rPr>
          <w:rFonts w:hint="eastAsia" w:ascii="宋体" w:hAnsi="宋体"/>
          <w:sz w:val="24"/>
          <w:lang w:eastAsia="zh-CN"/>
        </w:rPr>
        <w:t>竞争性磋商</w:t>
      </w:r>
      <w:r>
        <w:rPr>
          <w:rFonts w:hint="eastAsia" w:ascii="宋体" w:hAnsi="宋体"/>
          <w:sz w:val="24"/>
        </w:rPr>
        <w:t>报价</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3.2.1</w:t>
      </w:r>
      <w:r>
        <w:rPr>
          <w:rFonts w:hint="eastAsia" w:ascii="宋体" w:hAnsi="宋体"/>
          <w:sz w:val="24"/>
          <w:lang w:eastAsia="zh-CN"/>
        </w:rPr>
        <w:t>响应人竞争性磋商</w:t>
      </w:r>
      <w:r>
        <w:rPr>
          <w:rFonts w:hint="eastAsia" w:ascii="宋体" w:hAnsi="宋体"/>
          <w:sz w:val="24"/>
        </w:rPr>
        <w:t>报价由</w:t>
      </w:r>
      <w:r>
        <w:rPr>
          <w:rFonts w:hint="eastAsia" w:ascii="宋体" w:hAnsi="宋体"/>
          <w:sz w:val="24"/>
          <w:lang w:eastAsia="zh-CN"/>
        </w:rPr>
        <w:t>响应人</w:t>
      </w:r>
      <w:r>
        <w:rPr>
          <w:rFonts w:hint="eastAsia" w:ascii="宋体" w:hAnsi="宋体"/>
          <w:sz w:val="24"/>
        </w:rPr>
        <w:t>根据本项目工程特点、规模及国家相关规定标准按总价包干。</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3.2.2报价中应包含与履行本合同有关的成本、利润、保险、税费、风险费等全部内容。</w:t>
      </w:r>
    </w:p>
    <w:p>
      <w:pPr>
        <w:adjustRightInd w:val="0"/>
        <w:snapToGrid w:val="0"/>
        <w:spacing w:line="360" w:lineRule="auto"/>
        <w:ind w:firstLine="480" w:firstLineChars="200"/>
        <w:jc w:val="left"/>
        <w:rPr>
          <w:rFonts w:hint="eastAsia" w:ascii="宋体" w:hAnsi="宋体"/>
          <w:bCs/>
          <w:sz w:val="24"/>
        </w:rPr>
      </w:pPr>
      <w:r>
        <w:rPr>
          <w:rFonts w:hint="eastAsia" w:ascii="宋体" w:hAnsi="宋体"/>
          <w:bCs/>
          <w:sz w:val="24"/>
        </w:rPr>
        <w:t>3.2.3</w:t>
      </w:r>
      <w:r>
        <w:rPr>
          <w:rFonts w:hint="eastAsia" w:ascii="宋体" w:hAnsi="宋体"/>
          <w:bCs/>
          <w:spacing w:val="-8"/>
          <w:sz w:val="24"/>
        </w:rPr>
        <w:t>本合同范围内，</w:t>
      </w:r>
      <w:r>
        <w:rPr>
          <w:rFonts w:hint="eastAsia" w:ascii="宋体" w:hAnsi="宋体"/>
          <w:bCs/>
          <w:spacing w:val="-8"/>
          <w:sz w:val="24"/>
          <w:lang w:eastAsia="zh-CN"/>
        </w:rPr>
        <w:t>成交人</w:t>
      </w:r>
      <w:r>
        <w:rPr>
          <w:rFonts w:hint="eastAsia" w:ascii="宋体" w:hAnsi="宋体"/>
          <w:bCs/>
          <w:spacing w:val="-8"/>
          <w:sz w:val="24"/>
        </w:rPr>
        <w:t>无论项目如何调整与修正，合同总价均不作调整，也不随国家政策调整或法规、标准及市场因素的变化而进行合同总价调整</w:t>
      </w:r>
      <w:r>
        <w:rPr>
          <w:rFonts w:hint="eastAsia" w:ascii="宋体" w:hAnsi="宋体"/>
          <w:bCs/>
          <w:sz w:val="24"/>
        </w:rPr>
        <w:t>。</w:t>
      </w:r>
    </w:p>
    <w:p>
      <w:pPr>
        <w:adjustRightInd w:val="0"/>
        <w:snapToGrid w:val="0"/>
        <w:spacing w:line="360" w:lineRule="auto"/>
        <w:ind w:firstLine="480"/>
        <w:jc w:val="left"/>
        <w:rPr>
          <w:rFonts w:hint="default" w:ascii="宋体" w:hAnsi="宋体" w:eastAsia="宋体" w:cs="Times New Roman"/>
          <w:sz w:val="24"/>
          <w:lang w:val="en-US" w:eastAsia="zh-CN"/>
        </w:rPr>
      </w:pPr>
      <w:r>
        <w:rPr>
          <w:rFonts w:hint="eastAsia" w:ascii="宋体" w:hAnsi="宋体" w:eastAsia="宋体" w:cs="Times New Roman"/>
          <w:sz w:val="24"/>
        </w:rPr>
        <w:t>3.2.4最高</w:t>
      </w:r>
      <w:r>
        <w:rPr>
          <w:rFonts w:hint="eastAsia" w:ascii="宋体" w:hAnsi="宋体" w:eastAsia="宋体" w:cs="Times New Roman"/>
          <w:sz w:val="24"/>
          <w:lang w:val="en-US" w:eastAsia="zh-CN"/>
        </w:rPr>
        <w:t>投标</w:t>
      </w:r>
      <w:r>
        <w:rPr>
          <w:rFonts w:hint="eastAsia" w:ascii="宋体" w:hAnsi="宋体" w:cs="Times New Roman"/>
          <w:sz w:val="24"/>
          <w:lang w:val="en-US" w:eastAsia="zh-CN"/>
        </w:rPr>
        <w:t>限</w:t>
      </w:r>
      <w:r>
        <w:rPr>
          <w:rFonts w:hint="eastAsia" w:ascii="宋体" w:hAnsi="宋体" w:eastAsia="宋体" w:cs="Times New Roman"/>
          <w:sz w:val="24"/>
          <w:lang w:val="en-US" w:eastAsia="zh-CN"/>
        </w:rPr>
        <w:t>价：9万元。</w:t>
      </w:r>
    </w:p>
    <w:p>
      <w:pPr>
        <w:adjustRightInd w:val="0"/>
        <w:snapToGrid w:val="0"/>
        <w:spacing w:line="360" w:lineRule="auto"/>
        <w:ind w:firstLine="480"/>
        <w:jc w:val="left"/>
        <w:rPr>
          <w:rFonts w:hint="eastAsia" w:ascii="宋体" w:hAnsi="宋体" w:eastAsia="宋体" w:cs="Times New Roman"/>
          <w:sz w:val="24"/>
        </w:rPr>
      </w:pPr>
      <w:r>
        <w:rPr>
          <w:rFonts w:hint="eastAsia" w:ascii="宋体" w:hAnsi="宋体" w:eastAsia="宋体" w:cs="Times New Roman"/>
          <w:sz w:val="24"/>
        </w:rPr>
        <w:t>3.2.5服务工期：</w:t>
      </w:r>
      <w:r>
        <w:rPr>
          <w:rFonts w:hint="eastAsia" w:ascii="宋体" w:hAnsi="宋体" w:cs="Times New Roman"/>
          <w:sz w:val="24"/>
          <w:lang w:val="en-US" w:eastAsia="zh-CN"/>
        </w:rPr>
        <w:t>30</w:t>
      </w:r>
      <w:r>
        <w:rPr>
          <w:rFonts w:hint="eastAsia" w:ascii="宋体" w:hAnsi="宋体" w:eastAsia="宋体" w:cs="Times New Roman"/>
          <w:sz w:val="24"/>
          <w:lang w:eastAsia="zh-CN"/>
        </w:rPr>
        <w:t>日历天</w:t>
      </w:r>
      <w:r>
        <w:rPr>
          <w:rFonts w:hint="eastAsia" w:ascii="宋体" w:hAnsi="宋体" w:eastAsia="宋体" w:cs="Times New Roman"/>
          <w:sz w:val="24"/>
          <w:lang w:val="en-US" w:eastAsia="zh-CN"/>
        </w:rPr>
        <w:t>。</w:t>
      </w:r>
    </w:p>
    <w:p>
      <w:pPr>
        <w:adjustRightInd w:val="0"/>
        <w:snapToGrid w:val="0"/>
        <w:spacing w:line="360" w:lineRule="auto"/>
        <w:ind w:firstLine="480"/>
        <w:jc w:val="left"/>
        <w:rPr>
          <w:rFonts w:hint="eastAsia" w:ascii="宋体" w:hAnsi="宋体" w:eastAsia="宋体" w:cs="Times New Roman"/>
          <w:sz w:val="24"/>
        </w:rPr>
      </w:pPr>
      <w:r>
        <w:rPr>
          <w:rFonts w:hint="eastAsia" w:ascii="宋体" w:hAnsi="宋体" w:eastAsia="宋体" w:cs="Times New Roman"/>
          <w:sz w:val="24"/>
        </w:rPr>
        <w:t>3.3.</w:t>
      </w:r>
      <w:r>
        <w:rPr>
          <w:rFonts w:hint="eastAsia" w:ascii="宋体" w:hAnsi="宋体" w:eastAsia="宋体" w:cs="Times New Roman"/>
          <w:sz w:val="24"/>
          <w:lang w:eastAsia="zh-CN"/>
        </w:rPr>
        <w:t>响应文件</w:t>
      </w:r>
      <w:r>
        <w:rPr>
          <w:rFonts w:hint="eastAsia" w:ascii="宋体" w:hAnsi="宋体" w:eastAsia="宋体" w:cs="Times New Roman"/>
          <w:sz w:val="24"/>
        </w:rPr>
        <w:t>的份数</w:t>
      </w:r>
    </w:p>
    <w:p>
      <w:pPr>
        <w:adjustRightInd w:val="0"/>
        <w:snapToGrid w:val="0"/>
        <w:spacing w:line="360" w:lineRule="auto"/>
        <w:ind w:firstLine="480"/>
        <w:jc w:val="left"/>
        <w:rPr>
          <w:rFonts w:hint="eastAsia" w:ascii="宋体" w:hAnsi="宋体" w:eastAsia="宋体" w:cs="Times New Roman"/>
          <w:sz w:val="24"/>
        </w:rPr>
      </w:pPr>
      <w:bookmarkStart w:id="53" w:name="_Toc513710219"/>
      <w:bookmarkStart w:id="54" w:name="_Toc513350208"/>
      <w:r>
        <w:rPr>
          <w:rFonts w:hint="eastAsia" w:ascii="宋体" w:hAnsi="宋体" w:eastAsia="宋体" w:cs="Times New Roman"/>
          <w:sz w:val="24"/>
        </w:rPr>
        <w:t>3.3.1</w:t>
      </w:r>
      <w:r>
        <w:rPr>
          <w:rFonts w:hint="eastAsia" w:ascii="宋体" w:hAnsi="宋体" w:eastAsia="宋体" w:cs="Times New Roman"/>
          <w:sz w:val="24"/>
          <w:lang w:eastAsia="zh-CN"/>
        </w:rPr>
        <w:t>响应人</w:t>
      </w:r>
      <w:r>
        <w:rPr>
          <w:rFonts w:hint="eastAsia" w:ascii="宋体" w:hAnsi="宋体" w:eastAsia="宋体" w:cs="Times New Roman"/>
          <w:sz w:val="24"/>
        </w:rPr>
        <w:t>按本须知的规定，编制</w:t>
      </w:r>
      <w:r>
        <w:rPr>
          <w:rFonts w:hint="eastAsia" w:ascii="宋体" w:hAnsi="宋体" w:eastAsia="宋体" w:cs="Times New Roman"/>
          <w:sz w:val="24"/>
          <w:lang w:eastAsia="zh-CN"/>
        </w:rPr>
        <w:t>响应文件</w:t>
      </w:r>
      <w:r>
        <w:rPr>
          <w:rFonts w:hint="eastAsia" w:ascii="宋体" w:hAnsi="宋体" w:eastAsia="宋体" w:cs="Times New Roman"/>
          <w:sz w:val="24"/>
        </w:rPr>
        <w:t>正本一</w:t>
      </w:r>
      <w:r>
        <w:rPr>
          <w:rFonts w:hint="eastAsia" w:ascii="宋体" w:hAnsi="宋体" w:eastAsia="宋体" w:cs="Times New Roman"/>
          <w:sz w:val="24"/>
          <w:lang w:val="en-US" w:eastAsia="zh-CN"/>
        </w:rPr>
        <w:t>份</w:t>
      </w:r>
      <w:r>
        <w:rPr>
          <w:rFonts w:hint="eastAsia" w:ascii="宋体" w:hAnsi="宋体" w:eastAsia="宋体" w:cs="Times New Roman"/>
          <w:sz w:val="24"/>
        </w:rPr>
        <w:t>，副本一</w:t>
      </w:r>
      <w:r>
        <w:rPr>
          <w:rFonts w:hint="eastAsia" w:ascii="宋体" w:hAnsi="宋体" w:eastAsia="宋体" w:cs="Times New Roman"/>
          <w:sz w:val="24"/>
          <w:lang w:val="en-US" w:eastAsia="zh-CN"/>
        </w:rPr>
        <w:t>份</w:t>
      </w:r>
      <w:r>
        <w:rPr>
          <w:rFonts w:hint="eastAsia" w:ascii="宋体" w:hAnsi="宋体" w:eastAsia="宋体" w:cs="Times New Roman"/>
          <w:sz w:val="24"/>
        </w:rPr>
        <w:t>。</w:t>
      </w:r>
    </w:p>
    <w:p>
      <w:pPr>
        <w:adjustRightInd w:val="0"/>
        <w:snapToGrid w:val="0"/>
        <w:spacing w:line="360" w:lineRule="auto"/>
        <w:ind w:firstLine="480"/>
        <w:jc w:val="left"/>
        <w:rPr>
          <w:rFonts w:hint="eastAsia" w:ascii="宋体" w:hAnsi="宋体" w:eastAsia="宋体" w:cs="Times New Roman"/>
          <w:sz w:val="24"/>
        </w:rPr>
      </w:pPr>
      <w:r>
        <w:rPr>
          <w:rFonts w:hint="eastAsia" w:ascii="宋体" w:hAnsi="宋体" w:eastAsia="宋体" w:cs="Times New Roman"/>
          <w:sz w:val="24"/>
        </w:rPr>
        <w:t>3.5</w:t>
      </w:r>
      <w:r>
        <w:rPr>
          <w:rFonts w:hint="eastAsia" w:ascii="宋体" w:hAnsi="宋体" w:eastAsia="宋体" w:cs="Times New Roman"/>
          <w:sz w:val="24"/>
          <w:lang w:eastAsia="zh-CN"/>
        </w:rPr>
        <w:t>响应文件</w:t>
      </w:r>
      <w:r>
        <w:rPr>
          <w:rFonts w:hint="eastAsia" w:ascii="宋体" w:hAnsi="宋体" w:eastAsia="宋体" w:cs="Times New Roman"/>
          <w:sz w:val="24"/>
        </w:rPr>
        <w:t>的装订、密封、标志与递交</w:t>
      </w:r>
    </w:p>
    <w:p>
      <w:pPr>
        <w:spacing w:line="360" w:lineRule="auto"/>
        <w:ind w:firstLine="480" w:firstLineChars="200"/>
        <w:jc w:val="left"/>
        <w:rPr>
          <w:rFonts w:hint="eastAsia" w:ascii="宋体" w:hAnsi="宋体"/>
          <w:sz w:val="24"/>
        </w:rPr>
      </w:pPr>
      <w:r>
        <w:rPr>
          <w:rFonts w:hint="eastAsia" w:ascii="宋体" w:hAnsi="宋体"/>
          <w:sz w:val="24"/>
        </w:rPr>
        <w:t>3.5.1</w:t>
      </w:r>
      <w:r>
        <w:rPr>
          <w:rFonts w:hint="eastAsia" w:ascii="宋体" w:hAnsi="宋体"/>
          <w:sz w:val="24"/>
          <w:lang w:eastAsia="zh-CN"/>
        </w:rPr>
        <w:t>响应文件</w:t>
      </w:r>
      <w:r>
        <w:rPr>
          <w:rFonts w:hint="eastAsia" w:ascii="宋体" w:hAnsi="宋体"/>
          <w:sz w:val="24"/>
        </w:rPr>
        <w:t>的装订、密封与标志</w:t>
      </w:r>
    </w:p>
    <w:p>
      <w:pPr>
        <w:pStyle w:val="11"/>
        <w:spacing w:line="360" w:lineRule="auto"/>
        <w:ind w:firstLine="480"/>
        <w:rPr>
          <w:rFonts w:hint="eastAsia" w:hAnsi="宋体"/>
          <w:sz w:val="24"/>
        </w:rPr>
      </w:pPr>
      <w:r>
        <w:rPr>
          <w:rFonts w:hint="eastAsia" w:hAnsi="宋体"/>
          <w:sz w:val="24"/>
        </w:rPr>
        <w:t>3.5.1.1</w:t>
      </w:r>
      <w:r>
        <w:rPr>
          <w:rFonts w:hint="eastAsia" w:ascii="宋体" w:hAnsi="宋体" w:eastAsia="宋体" w:cs="Times New Roman"/>
          <w:sz w:val="24"/>
          <w:lang w:eastAsia="zh-CN"/>
        </w:rPr>
        <w:t>响应文件应采用胶装的方式装订成册。</w:t>
      </w:r>
      <w:r>
        <w:rPr>
          <w:rFonts w:hint="eastAsia" w:hAnsi="宋体"/>
          <w:sz w:val="24"/>
        </w:rPr>
        <w:t>若</w:t>
      </w:r>
      <w:r>
        <w:rPr>
          <w:rFonts w:hint="eastAsia" w:hAnsi="宋体"/>
          <w:sz w:val="24"/>
          <w:lang w:eastAsia="zh-CN"/>
        </w:rPr>
        <w:t>响应文件</w:t>
      </w:r>
      <w:r>
        <w:rPr>
          <w:rFonts w:hint="eastAsia" w:hAnsi="宋体"/>
          <w:sz w:val="24"/>
        </w:rPr>
        <w:t>较多时，可装订为多册；各册的封面上应醒目的标明“正本”、“副本”字样。</w:t>
      </w:r>
    </w:p>
    <w:p>
      <w:pPr>
        <w:pStyle w:val="11"/>
        <w:spacing w:line="360" w:lineRule="auto"/>
        <w:ind w:firstLine="480"/>
        <w:rPr>
          <w:rFonts w:hint="eastAsia" w:hAnsi="宋体"/>
          <w:sz w:val="24"/>
        </w:rPr>
      </w:pPr>
      <w:r>
        <w:rPr>
          <w:rFonts w:hint="eastAsia" w:hAnsi="宋体"/>
          <w:sz w:val="24"/>
        </w:rPr>
        <w:t>3.6.1为了保护</w:t>
      </w:r>
      <w:r>
        <w:rPr>
          <w:rFonts w:hint="eastAsia" w:hAnsi="宋体"/>
          <w:sz w:val="24"/>
          <w:lang w:eastAsia="zh-CN"/>
        </w:rPr>
        <w:t>响应文件</w:t>
      </w:r>
      <w:r>
        <w:rPr>
          <w:rFonts w:hint="eastAsia" w:hAnsi="宋体"/>
          <w:sz w:val="24"/>
        </w:rPr>
        <w:t>、防止</w:t>
      </w:r>
      <w:r>
        <w:rPr>
          <w:rFonts w:hint="eastAsia" w:hAnsi="宋体"/>
          <w:sz w:val="24"/>
          <w:lang w:eastAsia="zh-CN"/>
        </w:rPr>
        <w:t>响应文件</w:t>
      </w:r>
      <w:r>
        <w:rPr>
          <w:rFonts w:hint="eastAsia" w:hAnsi="宋体"/>
          <w:sz w:val="24"/>
        </w:rPr>
        <w:t>被无权人篡改和替换，</w:t>
      </w:r>
      <w:r>
        <w:rPr>
          <w:rFonts w:hint="eastAsia" w:hAnsi="宋体"/>
          <w:sz w:val="24"/>
          <w:lang w:eastAsia="zh-CN"/>
        </w:rPr>
        <w:t>响应文件</w:t>
      </w:r>
      <w:r>
        <w:rPr>
          <w:rFonts w:hint="eastAsia" w:hAnsi="宋体"/>
          <w:sz w:val="24"/>
        </w:rPr>
        <w:t>应予以密封递交</w:t>
      </w:r>
      <w:r>
        <w:rPr>
          <w:rFonts w:hint="eastAsia" w:hAnsi="宋体"/>
          <w:sz w:val="24"/>
          <w:lang w:val="en-US" w:eastAsia="zh-CN"/>
        </w:rPr>
        <w:t>并加盖响应人公章</w:t>
      </w:r>
      <w:r>
        <w:rPr>
          <w:rFonts w:hint="eastAsia" w:hAnsi="宋体"/>
          <w:sz w:val="24"/>
        </w:rPr>
        <w:t>，封包处应有以下识别标志，以便识别 ：</w:t>
      </w:r>
    </w:p>
    <w:p>
      <w:pPr>
        <w:pStyle w:val="11"/>
        <w:spacing w:line="360" w:lineRule="auto"/>
        <w:rPr>
          <w:rFonts w:hint="eastAsia" w:hAnsi="宋体"/>
          <w:spacing w:val="-8"/>
          <w:sz w:val="24"/>
        </w:rPr>
      </w:pPr>
      <w:r>
        <w:rPr>
          <w:rFonts w:hint="eastAsia" w:hAnsi="宋体"/>
          <w:sz w:val="24"/>
        </w:rPr>
        <w:t xml:space="preserve">   （1）</w:t>
      </w:r>
      <w:r>
        <w:rPr>
          <w:rFonts w:hint="eastAsia" w:hAnsi="宋体"/>
          <w:sz w:val="24"/>
          <w:lang w:val="en-US" w:eastAsia="zh-CN"/>
        </w:rPr>
        <w:t>项目</w:t>
      </w:r>
      <w:r>
        <w:rPr>
          <w:rFonts w:hint="eastAsia" w:hAnsi="宋体"/>
          <w:sz w:val="24"/>
        </w:rPr>
        <w:t>名称</w:t>
      </w:r>
    </w:p>
    <w:p>
      <w:pPr>
        <w:pStyle w:val="11"/>
        <w:spacing w:line="360" w:lineRule="auto"/>
        <w:rPr>
          <w:rFonts w:hint="eastAsia" w:hAnsi="宋体"/>
          <w:sz w:val="24"/>
        </w:rPr>
      </w:pPr>
      <w:r>
        <w:rPr>
          <w:rFonts w:hint="eastAsia" w:hAnsi="宋体"/>
          <w:sz w:val="24"/>
        </w:rPr>
        <w:t xml:space="preserve">   （2）</w:t>
      </w:r>
      <w:r>
        <w:rPr>
          <w:rFonts w:hint="eastAsia" w:hAnsi="宋体"/>
          <w:sz w:val="24"/>
          <w:lang w:eastAsia="zh-CN"/>
        </w:rPr>
        <w:t>响应人</w:t>
      </w:r>
      <w:r>
        <w:rPr>
          <w:rFonts w:hint="eastAsia" w:hAnsi="宋体"/>
          <w:sz w:val="24"/>
        </w:rPr>
        <w:t>名称</w:t>
      </w:r>
    </w:p>
    <w:p>
      <w:pPr>
        <w:pStyle w:val="11"/>
        <w:spacing w:line="360" w:lineRule="auto"/>
        <w:rPr>
          <w:rFonts w:hint="eastAsia" w:hAnsi="宋体"/>
          <w:sz w:val="24"/>
        </w:rPr>
      </w:pPr>
      <w:r>
        <w:rPr>
          <w:rFonts w:hint="eastAsia" w:hAnsi="宋体"/>
          <w:sz w:val="24"/>
        </w:rPr>
        <w:t xml:space="preserve">   （3）</w:t>
      </w:r>
      <w:r>
        <w:rPr>
          <w:rFonts w:hint="eastAsia" w:ascii="宋体" w:hAnsi="宋体" w:eastAsia="宋体" w:cs="Times New Roman"/>
          <w:sz w:val="24"/>
          <w:lang w:eastAsia="zh-CN"/>
        </w:rPr>
        <w:t>响应文件</w:t>
      </w:r>
      <w:r>
        <w:rPr>
          <w:rFonts w:hint="eastAsia" w:ascii="宋体" w:hAnsi="宋体" w:eastAsia="宋体" w:cs="Times New Roman"/>
          <w:sz w:val="24"/>
        </w:rPr>
        <w:t>正本和副本封装成一包提交。</w:t>
      </w:r>
      <w:r>
        <w:rPr>
          <w:rFonts w:hint="eastAsia" w:hAnsi="宋体"/>
          <w:sz w:val="24"/>
        </w:rPr>
        <w:t xml:space="preserve"> </w:t>
      </w:r>
    </w:p>
    <w:p>
      <w:pPr>
        <w:pStyle w:val="11"/>
        <w:spacing w:line="360" w:lineRule="auto"/>
        <w:rPr>
          <w:rFonts w:hint="eastAsia" w:hAnsi="宋体"/>
          <w:color w:val="0000FF"/>
          <w:sz w:val="24"/>
        </w:rPr>
      </w:pPr>
      <w:r>
        <w:rPr>
          <w:rFonts w:hint="eastAsia" w:hAnsi="宋体"/>
          <w:color w:val="0000FF"/>
          <w:sz w:val="24"/>
        </w:rPr>
        <w:t xml:space="preserve">   （4）</w:t>
      </w:r>
      <w:r>
        <w:rPr>
          <w:rFonts w:hint="eastAsia" w:hAnsi="宋体"/>
          <w:color w:val="0000FF"/>
          <w:sz w:val="24"/>
          <w:u w:val="single"/>
        </w:rPr>
        <w:t xml:space="preserve">  </w:t>
      </w:r>
      <w:r>
        <w:rPr>
          <w:rFonts w:hint="eastAsia" w:hAnsi="宋体"/>
          <w:color w:val="0000FF"/>
          <w:sz w:val="24"/>
          <w:u w:val="single"/>
          <w:lang w:eastAsia="zh-CN"/>
        </w:rPr>
        <w:t>202</w:t>
      </w:r>
      <w:r>
        <w:rPr>
          <w:rFonts w:hint="eastAsia" w:hAnsi="宋体"/>
          <w:color w:val="0000FF"/>
          <w:sz w:val="24"/>
          <w:u w:val="single"/>
          <w:lang w:val="en-US" w:eastAsia="zh-CN"/>
        </w:rPr>
        <w:t>2</w:t>
      </w:r>
      <w:r>
        <w:rPr>
          <w:rFonts w:hint="eastAsia" w:hAnsi="宋体"/>
          <w:color w:val="0000FF"/>
          <w:sz w:val="24"/>
          <w:u w:val="single"/>
        </w:rPr>
        <w:t xml:space="preserve"> </w:t>
      </w:r>
      <w:r>
        <w:rPr>
          <w:rFonts w:hint="eastAsia" w:hAnsi="宋体"/>
          <w:color w:val="0000FF"/>
          <w:sz w:val="24"/>
        </w:rPr>
        <w:t>年</w:t>
      </w:r>
      <w:r>
        <w:rPr>
          <w:rFonts w:hint="eastAsia" w:hAnsi="宋体"/>
          <w:color w:val="0000FF"/>
          <w:sz w:val="24"/>
          <w:u w:val="single"/>
        </w:rPr>
        <w:t xml:space="preserve"> </w:t>
      </w:r>
      <w:r>
        <w:rPr>
          <w:rFonts w:hint="eastAsia" w:hAnsi="宋体"/>
          <w:color w:val="0000FF"/>
          <w:sz w:val="24"/>
          <w:u w:val="single"/>
          <w:lang w:val="en-US" w:eastAsia="zh-CN"/>
        </w:rPr>
        <w:t>12</w:t>
      </w:r>
      <w:r>
        <w:rPr>
          <w:rFonts w:hint="eastAsia" w:hAnsi="宋体"/>
          <w:color w:val="0000FF"/>
          <w:sz w:val="24"/>
        </w:rPr>
        <w:t>月</w:t>
      </w:r>
      <w:r>
        <w:rPr>
          <w:rFonts w:hint="eastAsia" w:hAnsi="宋体"/>
          <w:color w:val="0000FF"/>
          <w:sz w:val="24"/>
          <w:u w:val="single"/>
        </w:rPr>
        <w:t xml:space="preserve"> </w:t>
      </w:r>
      <w:r>
        <w:rPr>
          <w:rFonts w:hint="eastAsia" w:hAnsi="宋体"/>
          <w:color w:val="0000FF"/>
          <w:sz w:val="24"/>
          <w:u w:val="single"/>
          <w:lang w:val="en-US" w:eastAsia="zh-CN"/>
        </w:rPr>
        <w:t>7</w:t>
      </w:r>
      <w:r>
        <w:rPr>
          <w:rFonts w:hint="eastAsia" w:hAnsi="宋体"/>
          <w:color w:val="0000FF"/>
          <w:sz w:val="24"/>
        </w:rPr>
        <w:t>日</w:t>
      </w:r>
      <w:r>
        <w:rPr>
          <w:rFonts w:hint="eastAsia" w:hAnsi="宋体"/>
          <w:color w:val="0000FF"/>
          <w:sz w:val="24"/>
          <w:u w:val="single"/>
        </w:rPr>
        <w:t xml:space="preserve"> </w:t>
      </w:r>
      <w:r>
        <w:rPr>
          <w:rFonts w:hint="eastAsia" w:hAnsi="宋体"/>
          <w:color w:val="0000FF"/>
          <w:sz w:val="24"/>
          <w:u w:val="single"/>
          <w:lang w:val="en-US" w:eastAsia="zh-CN"/>
        </w:rPr>
        <w:t>10</w:t>
      </w:r>
      <w:r>
        <w:rPr>
          <w:rFonts w:hint="eastAsia" w:hAnsi="宋体"/>
          <w:color w:val="0000FF"/>
          <w:sz w:val="24"/>
          <w:u w:val="single"/>
        </w:rPr>
        <w:t xml:space="preserve"> </w:t>
      </w:r>
      <w:r>
        <w:rPr>
          <w:rFonts w:hint="eastAsia" w:hAnsi="宋体"/>
          <w:color w:val="0000FF"/>
          <w:sz w:val="24"/>
        </w:rPr>
        <w:t>时</w:t>
      </w:r>
      <w:r>
        <w:rPr>
          <w:rFonts w:hint="eastAsia" w:hAnsi="宋体"/>
          <w:color w:val="0000FF"/>
          <w:sz w:val="24"/>
          <w:u w:val="single"/>
          <w:lang w:val="en-US" w:eastAsia="zh-CN"/>
        </w:rPr>
        <w:t>00</w:t>
      </w:r>
      <w:r>
        <w:rPr>
          <w:rFonts w:hint="eastAsia" w:hAnsi="宋体"/>
          <w:color w:val="0000FF"/>
          <w:sz w:val="24"/>
          <w:u w:val="single"/>
        </w:rPr>
        <w:t xml:space="preserve"> </w:t>
      </w:r>
      <w:r>
        <w:rPr>
          <w:rFonts w:hint="eastAsia" w:hAnsi="宋体"/>
          <w:color w:val="0000FF"/>
          <w:sz w:val="24"/>
        </w:rPr>
        <w:t>分前不得</w:t>
      </w:r>
      <w:r>
        <w:rPr>
          <w:rFonts w:hint="eastAsia" w:hAnsi="宋体"/>
          <w:color w:val="0000FF"/>
          <w:sz w:val="24"/>
          <w:lang w:eastAsia="zh-CN"/>
        </w:rPr>
        <w:t>启封</w:t>
      </w:r>
      <w:r>
        <w:rPr>
          <w:rFonts w:hint="eastAsia" w:hAnsi="宋体"/>
          <w:color w:val="0000FF"/>
          <w:sz w:val="24"/>
        </w:rPr>
        <w:t>。</w:t>
      </w:r>
    </w:p>
    <w:p>
      <w:pPr>
        <w:spacing w:line="360" w:lineRule="auto"/>
        <w:ind w:firstLine="480" w:firstLineChars="200"/>
        <w:rPr>
          <w:rFonts w:hint="eastAsia" w:ascii="宋体" w:hAnsi="宋体"/>
          <w:sz w:val="24"/>
        </w:rPr>
      </w:pPr>
      <w:r>
        <w:rPr>
          <w:rFonts w:hint="eastAsia" w:ascii="宋体" w:hAnsi="宋体"/>
          <w:sz w:val="24"/>
        </w:rPr>
        <w:t>3.6.1.1如果因密封不严、标记不明而造成过早启封、失密等情况，</w:t>
      </w:r>
      <w:r>
        <w:rPr>
          <w:rFonts w:hint="eastAsia" w:ascii="宋体" w:hAnsi="宋体"/>
          <w:sz w:val="24"/>
          <w:lang w:eastAsia="zh-CN"/>
        </w:rPr>
        <w:t>采购人</w:t>
      </w:r>
      <w:r>
        <w:rPr>
          <w:rFonts w:hint="eastAsia" w:ascii="宋体" w:hAnsi="宋体"/>
          <w:sz w:val="24"/>
        </w:rPr>
        <w:t>概不负责。</w:t>
      </w:r>
    </w:p>
    <w:p>
      <w:pPr>
        <w:spacing w:line="360" w:lineRule="auto"/>
        <w:ind w:firstLine="480" w:firstLineChars="200"/>
        <w:rPr>
          <w:rFonts w:hint="eastAsia" w:ascii="宋体" w:hAnsi="宋体" w:eastAsia="宋体"/>
          <w:sz w:val="24"/>
          <w:lang w:eastAsia="zh-CN"/>
        </w:rPr>
      </w:pPr>
      <w:r>
        <w:rPr>
          <w:rFonts w:hint="eastAsia" w:ascii="宋体" w:hAnsi="宋体"/>
          <w:sz w:val="24"/>
        </w:rPr>
        <w:t>3.6.2</w:t>
      </w:r>
      <w:r>
        <w:rPr>
          <w:rFonts w:hint="eastAsia" w:ascii="宋体" w:hAnsi="宋体"/>
          <w:sz w:val="24"/>
          <w:lang w:val="en-US" w:eastAsia="zh-CN"/>
        </w:rPr>
        <w:t>递</w:t>
      </w:r>
      <w:r>
        <w:rPr>
          <w:rFonts w:hint="eastAsia" w:ascii="宋体" w:hAnsi="宋体"/>
          <w:sz w:val="24"/>
        </w:rPr>
        <w:t>交</w:t>
      </w:r>
      <w:r>
        <w:rPr>
          <w:rFonts w:hint="eastAsia" w:ascii="宋体" w:hAnsi="宋体"/>
          <w:sz w:val="24"/>
          <w:lang w:eastAsia="zh-CN"/>
        </w:rPr>
        <w:t>响应文件</w:t>
      </w:r>
    </w:p>
    <w:p>
      <w:pPr>
        <w:spacing w:line="360" w:lineRule="auto"/>
        <w:ind w:firstLine="480" w:firstLineChars="200"/>
        <w:rPr>
          <w:rFonts w:hint="eastAsia" w:ascii="宋体" w:hAnsi="宋体"/>
          <w:sz w:val="24"/>
        </w:rPr>
      </w:pPr>
      <w:r>
        <w:rPr>
          <w:rFonts w:hint="eastAsia" w:ascii="宋体" w:hAnsi="宋体"/>
          <w:sz w:val="24"/>
        </w:rPr>
        <w:t>3.6.2</w:t>
      </w:r>
      <w:r>
        <w:rPr>
          <w:rFonts w:hint="eastAsia" w:ascii="宋体" w:hAnsi="宋体"/>
          <w:sz w:val="24"/>
          <w:lang w:eastAsia="zh-CN"/>
        </w:rPr>
        <w:t>响应人</w:t>
      </w:r>
      <w:r>
        <w:rPr>
          <w:rFonts w:hint="eastAsia" w:ascii="宋体" w:hAnsi="宋体"/>
          <w:sz w:val="24"/>
        </w:rPr>
        <w:t>应按规定的时间和地址将</w:t>
      </w:r>
      <w:r>
        <w:rPr>
          <w:rFonts w:hint="eastAsia" w:ascii="宋体" w:hAnsi="宋体"/>
          <w:sz w:val="24"/>
          <w:lang w:eastAsia="zh-CN"/>
        </w:rPr>
        <w:t>响应文件</w:t>
      </w:r>
      <w:r>
        <w:rPr>
          <w:rFonts w:hint="eastAsia" w:ascii="宋体" w:hAnsi="宋体"/>
          <w:sz w:val="24"/>
        </w:rPr>
        <w:t>递交给</w:t>
      </w:r>
      <w:r>
        <w:rPr>
          <w:rFonts w:hint="eastAsia" w:ascii="宋体" w:hAnsi="宋体"/>
          <w:sz w:val="24"/>
          <w:lang w:eastAsia="zh-CN"/>
        </w:rPr>
        <w:t>采购人</w:t>
      </w:r>
      <w:r>
        <w:rPr>
          <w:rFonts w:hint="eastAsia" w:ascii="宋体" w:hAnsi="宋体"/>
          <w:sz w:val="24"/>
        </w:rPr>
        <w:t>。</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3.6.2</w:t>
      </w:r>
      <w:r>
        <w:rPr>
          <w:rFonts w:hint="eastAsia" w:ascii="宋体" w:hAnsi="宋体" w:eastAsia="宋体" w:cs="Times New Roman"/>
          <w:sz w:val="24"/>
          <w:lang w:eastAsia="zh-CN"/>
        </w:rPr>
        <w:t>响应文件</w:t>
      </w:r>
      <w:r>
        <w:rPr>
          <w:rFonts w:hint="eastAsia" w:ascii="宋体" w:hAnsi="宋体" w:eastAsia="宋体" w:cs="Times New Roman"/>
          <w:sz w:val="24"/>
        </w:rPr>
        <w:t>递交送达</w:t>
      </w:r>
      <w:r>
        <w:rPr>
          <w:rFonts w:hint="eastAsia" w:ascii="宋体" w:hAnsi="宋体" w:eastAsia="宋体" w:cs="Times New Roman"/>
          <w:sz w:val="24"/>
          <w:lang w:eastAsia="zh-CN"/>
        </w:rPr>
        <w:t>竞争性磋商</w:t>
      </w:r>
      <w:r>
        <w:rPr>
          <w:rFonts w:hint="eastAsia" w:ascii="宋体" w:hAnsi="宋体" w:eastAsia="宋体" w:cs="Times New Roman"/>
          <w:sz w:val="24"/>
        </w:rPr>
        <w:t>地点</w:t>
      </w:r>
      <w:r>
        <w:rPr>
          <w:rFonts w:hint="eastAsia" w:ascii="宋体" w:hAnsi="宋体" w:eastAsia="宋体" w:cs="Times New Roman"/>
          <w:sz w:val="24"/>
          <w:lang w:eastAsia="zh-CN"/>
        </w:rPr>
        <w:t>，</w:t>
      </w:r>
      <w:r>
        <w:rPr>
          <w:rFonts w:hint="eastAsia" w:ascii="宋体" w:hAnsi="宋体" w:eastAsia="宋体" w:cs="Times New Roman"/>
          <w:sz w:val="24"/>
        </w:rPr>
        <w:t>递交截止时间和地址见</w:t>
      </w:r>
      <w:r>
        <w:rPr>
          <w:rFonts w:hint="eastAsia" w:ascii="宋体" w:hAnsi="宋体" w:eastAsia="宋体" w:cs="Times New Roman"/>
          <w:sz w:val="24"/>
          <w:lang w:eastAsia="zh-CN"/>
        </w:rPr>
        <w:t>竞争性磋商</w:t>
      </w:r>
      <w:r>
        <w:rPr>
          <w:rFonts w:hint="eastAsia" w:ascii="宋体" w:hAnsi="宋体" w:eastAsia="宋体" w:cs="Times New Roman"/>
          <w:sz w:val="24"/>
        </w:rPr>
        <w:t>须知资料表。</w:t>
      </w:r>
    </w:p>
    <w:p>
      <w:pPr>
        <w:spacing w:line="360" w:lineRule="auto"/>
        <w:ind w:firstLine="480" w:firstLineChars="200"/>
        <w:rPr>
          <w:rFonts w:hint="eastAsia" w:ascii="宋体" w:hAnsi="宋体"/>
          <w:sz w:val="24"/>
        </w:rPr>
      </w:pPr>
      <w:r>
        <w:rPr>
          <w:rFonts w:hint="eastAsia" w:ascii="宋体" w:hAnsi="宋体"/>
          <w:sz w:val="24"/>
        </w:rPr>
        <w:t>3.6.3</w:t>
      </w:r>
      <w:r>
        <w:rPr>
          <w:rFonts w:hint="eastAsia" w:ascii="宋体" w:hAnsi="宋体"/>
          <w:sz w:val="24"/>
          <w:lang w:eastAsia="zh-CN"/>
        </w:rPr>
        <w:t>响应文件</w:t>
      </w:r>
      <w:r>
        <w:rPr>
          <w:rFonts w:hint="eastAsia" w:ascii="宋体" w:hAnsi="宋体"/>
          <w:sz w:val="24"/>
        </w:rPr>
        <w:t>有下列情形的，</w:t>
      </w:r>
      <w:r>
        <w:rPr>
          <w:rFonts w:hint="eastAsia" w:ascii="宋体" w:hAnsi="宋体"/>
          <w:sz w:val="24"/>
          <w:lang w:eastAsia="zh-CN"/>
        </w:rPr>
        <w:t>采购人</w:t>
      </w:r>
      <w:r>
        <w:rPr>
          <w:rFonts w:hint="eastAsia" w:ascii="宋体" w:hAnsi="宋体"/>
          <w:sz w:val="24"/>
        </w:rPr>
        <w:t>不予受理：</w:t>
      </w:r>
    </w:p>
    <w:p>
      <w:pPr>
        <w:spacing w:line="360" w:lineRule="auto"/>
        <w:ind w:firstLine="480" w:firstLineChars="200"/>
        <w:rPr>
          <w:rFonts w:hint="eastAsia" w:ascii="宋体" w:hAnsi="宋体" w:eastAsia="宋体"/>
          <w:sz w:val="24"/>
          <w:lang w:eastAsia="zh-CN"/>
        </w:rPr>
      </w:pPr>
      <w:r>
        <w:rPr>
          <w:rFonts w:hint="eastAsia" w:ascii="宋体" w:hAnsi="宋体"/>
          <w:sz w:val="24"/>
        </w:rPr>
        <w:t>3.6.3.1逾期送达的或者未送达指定地点的</w:t>
      </w:r>
      <w:r>
        <w:rPr>
          <w:rFonts w:hint="eastAsia" w:ascii="宋体" w:hAnsi="宋体"/>
          <w:sz w:val="24"/>
          <w:lang w:eastAsia="zh-CN"/>
        </w:rPr>
        <w:t>；</w:t>
      </w:r>
    </w:p>
    <w:p>
      <w:pPr>
        <w:spacing w:line="360" w:lineRule="auto"/>
        <w:ind w:firstLine="480" w:firstLineChars="200"/>
        <w:rPr>
          <w:rFonts w:hint="eastAsia" w:ascii="宋体" w:hAnsi="宋体"/>
          <w:sz w:val="24"/>
        </w:rPr>
      </w:pPr>
      <w:r>
        <w:rPr>
          <w:rFonts w:hint="eastAsia" w:ascii="宋体" w:hAnsi="宋体"/>
          <w:sz w:val="24"/>
        </w:rPr>
        <w:t>3.6.3.2未按</w:t>
      </w:r>
      <w:r>
        <w:rPr>
          <w:rFonts w:hint="eastAsia" w:hAnsi="宋体"/>
          <w:sz w:val="24"/>
        </w:rPr>
        <w:t>3.6.1要求密封及3.5.1装订</w:t>
      </w:r>
      <w:r>
        <w:rPr>
          <w:rFonts w:hint="eastAsia" w:hAnsi="宋体"/>
          <w:sz w:val="24"/>
          <w:lang w:eastAsia="zh-CN"/>
        </w:rPr>
        <w:t>响应文件</w:t>
      </w:r>
      <w:r>
        <w:rPr>
          <w:rFonts w:hint="eastAsia" w:hAnsi="宋体"/>
          <w:sz w:val="24"/>
        </w:rPr>
        <w:t>的</w:t>
      </w:r>
      <w:r>
        <w:rPr>
          <w:rFonts w:hint="eastAsia" w:ascii="宋体" w:hAnsi="宋体"/>
          <w:sz w:val="24"/>
        </w:rPr>
        <w:t>。</w:t>
      </w:r>
      <w:bookmarkEnd w:id="53"/>
      <w:bookmarkEnd w:id="54"/>
      <w:bookmarkStart w:id="55" w:name="_Toc30600"/>
      <w:bookmarkStart w:id="56" w:name="_Toc513710220"/>
      <w:bookmarkStart w:id="57" w:name="_Toc513350209"/>
    </w:p>
    <w:p>
      <w:pPr>
        <w:pStyle w:val="5"/>
        <w:bidi w:val="0"/>
        <w:rPr>
          <w:rFonts w:hint="default"/>
          <w:lang w:val="en-US" w:eastAsia="zh-CN"/>
        </w:rPr>
      </w:pPr>
      <w:r>
        <w:rPr>
          <w:rFonts w:hint="eastAsia"/>
        </w:rPr>
        <w:t>4</w:t>
      </w:r>
      <w:r>
        <w:rPr>
          <w:rFonts w:hint="eastAsia"/>
          <w:lang w:val="en-US" w:eastAsia="zh-CN"/>
        </w:rPr>
        <w:t>.</w:t>
      </w:r>
      <w:r>
        <w:rPr>
          <w:rFonts w:hint="eastAsia"/>
          <w:lang w:eastAsia="zh-CN"/>
        </w:rPr>
        <w:t>竞争性磋商</w:t>
      </w:r>
      <w:r>
        <w:rPr>
          <w:rFonts w:hint="eastAsia"/>
          <w:lang w:val="en-US" w:eastAsia="zh-CN"/>
        </w:rPr>
        <w:t>程序</w:t>
      </w:r>
      <w:bookmarkEnd w:id="55"/>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4.1</w:t>
      </w:r>
      <w:r>
        <w:rPr>
          <w:rFonts w:hint="eastAsia" w:ascii="宋体" w:hAnsi="宋体" w:eastAsia="宋体" w:cs="Times New Roman"/>
          <w:sz w:val="24"/>
          <w:lang w:eastAsia="zh-CN"/>
        </w:rPr>
        <w:t>竞争性磋商</w:t>
      </w:r>
      <w:r>
        <w:rPr>
          <w:rFonts w:hint="eastAsia" w:ascii="宋体" w:hAnsi="宋体" w:eastAsia="宋体" w:cs="Times New Roman"/>
          <w:sz w:val="24"/>
        </w:rPr>
        <w:t>由</w:t>
      </w:r>
      <w:r>
        <w:rPr>
          <w:rFonts w:hint="eastAsia" w:ascii="宋体" w:hAnsi="宋体" w:eastAsia="宋体" w:cs="Times New Roman"/>
          <w:sz w:val="24"/>
          <w:lang w:eastAsia="zh-CN"/>
        </w:rPr>
        <w:t>采购人</w:t>
      </w:r>
      <w:r>
        <w:rPr>
          <w:rFonts w:hint="eastAsia" w:ascii="宋体" w:hAnsi="宋体" w:eastAsia="宋体" w:cs="Times New Roman"/>
          <w:sz w:val="24"/>
        </w:rPr>
        <w:t>组织并主持，所有</w:t>
      </w:r>
      <w:r>
        <w:rPr>
          <w:rFonts w:hint="eastAsia" w:ascii="宋体" w:hAnsi="宋体" w:eastAsia="宋体" w:cs="Times New Roman"/>
          <w:sz w:val="24"/>
          <w:lang w:eastAsia="zh-CN"/>
        </w:rPr>
        <w:t>响应人</w:t>
      </w:r>
      <w:r>
        <w:rPr>
          <w:rFonts w:hint="eastAsia" w:ascii="宋体" w:hAnsi="宋体" w:eastAsia="宋体" w:cs="Times New Roman"/>
          <w:sz w:val="24"/>
        </w:rPr>
        <w:t>参加，并接受</w:t>
      </w:r>
      <w:r>
        <w:rPr>
          <w:rFonts w:hint="eastAsia" w:ascii="宋体" w:hAnsi="宋体" w:eastAsia="宋体" w:cs="Times New Roman"/>
          <w:sz w:val="24"/>
          <w:lang w:val="en-US" w:eastAsia="zh-CN"/>
        </w:rPr>
        <w:t>采购人</w:t>
      </w:r>
      <w:r>
        <w:rPr>
          <w:rFonts w:hint="eastAsia" w:ascii="宋体" w:hAnsi="宋体" w:eastAsia="宋体" w:cs="Times New Roman"/>
          <w:sz w:val="24"/>
        </w:rPr>
        <w:t>办公室监督。</w:t>
      </w:r>
    </w:p>
    <w:p>
      <w:pPr>
        <w:spacing w:line="360" w:lineRule="auto"/>
        <w:ind w:firstLine="480" w:firstLineChars="200"/>
        <w:rPr>
          <w:rFonts w:hint="eastAsia" w:ascii="宋体" w:hAnsi="宋体" w:eastAsia="宋体" w:cs="Times New Roman"/>
          <w:sz w:val="24"/>
          <w:u w:val="none"/>
          <w:lang w:val="en-US" w:eastAsia="zh-CN"/>
        </w:rPr>
      </w:pPr>
      <w:r>
        <w:rPr>
          <w:rFonts w:hint="eastAsia" w:ascii="宋体" w:hAnsi="宋体" w:eastAsia="宋体" w:cs="Times New Roman"/>
          <w:sz w:val="24"/>
        </w:rPr>
        <w:t>4.2</w:t>
      </w:r>
      <w:r>
        <w:rPr>
          <w:rFonts w:hint="eastAsia" w:ascii="宋体" w:hAnsi="宋体" w:eastAsia="宋体" w:cs="Times New Roman"/>
          <w:sz w:val="24"/>
          <w:lang w:val="en-US" w:eastAsia="zh-CN"/>
        </w:rPr>
        <w:t>身份验证：</w:t>
      </w:r>
      <w:r>
        <w:rPr>
          <w:rFonts w:hint="eastAsia" w:ascii="宋体" w:hAnsi="宋体" w:eastAsia="宋体" w:cs="Times New Roman"/>
          <w:sz w:val="24"/>
        </w:rPr>
        <w:t>各</w:t>
      </w:r>
      <w:r>
        <w:rPr>
          <w:rFonts w:hint="eastAsia" w:ascii="宋体" w:hAnsi="宋体" w:eastAsia="宋体" w:cs="Times New Roman"/>
          <w:sz w:val="24"/>
          <w:lang w:eastAsia="zh-CN"/>
        </w:rPr>
        <w:t>响应人</w:t>
      </w:r>
      <w:r>
        <w:rPr>
          <w:rFonts w:hint="eastAsia" w:ascii="宋体" w:hAnsi="宋体" w:eastAsia="宋体" w:cs="Times New Roman"/>
          <w:sz w:val="24"/>
        </w:rPr>
        <w:t>法定代表人或其授权代理人</w:t>
      </w:r>
      <w:r>
        <w:rPr>
          <w:rFonts w:hint="eastAsia" w:ascii="宋体" w:hAnsi="宋体" w:eastAsia="宋体" w:cs="Times New Roman"/>
          <w:sz w:val="24"/>
          <w:lang w:val="en-US" w:eastAsia="zh-CN"/>
        </w:rPr>
        <w:t>出示磋商代表身份证原件，以及法定代表人身份证明书原件或授权委托书原件，营业执照副本复印件（加盖公章）进行身份验证。身份验证不合格的其响应文件不予拆封，并退回该</w:t>
      </w:r>
      <w:r>
        <w:rPr>
          <w:rFonts w:hint="eastAsia" w:ascii="宋体" w:hAnsi="宋体" w:eastAsia="宋体" w:cs="Times New Roman"/>
          <w:sz w:val="24"/>
          <w:u w:val="none"/>
          <w:lang w:val="en-US" w:eastAsia="zh-CN"/>
        </w:rPr>
        <w:t>响应人。</w:t>
      </w:r>
    </w:p>
    <w:p>
      <w:pPr>
        <w:spacing w:line="360" w:lineRule="auto"/>
        <w:ind w:firstLine="643" w:firstLineChars="200"/>
        <w:rPr>
          <w:rFonts w:hint="default" w:ascii="宋体" w:hAnsi="宋体" w:eastAsia="宋体" w:cs="Times New Roman"/>
          <w:sz w:val="24"/>
          <w:u w:val="none"/>
          <w:lang w:val="en-US" w:eastAsia="zh-CN"/>
        </w:rPr>
      </w:pPr>
      <w:r>
        <w:rPr>
          <w:rFonts w:hint="eastAsia" w:ascii="宋体" w:hAnsi="宋体" w:eastAsia="宋体" w:cs="Times New Roman"/>
          <w:b/>
          <w:bCs/>
          <w:sz w:val="32"/>
          <w:szCs w:val="32"/>
          <w:u w:val="none"/>
          <w:lang w:val="en-US" w:eastAsia="zh-CN"/>
        </w:rPr>
        <w:t>※注：参加磋商的各响应人代表须同时提供磋商代表的健康码和行程码（彩色纸质版加盖响应人单位公章）、疫情防控个人健康承诺书（格式详见第</w:t>
      </w:r>
      <w:r>
        <w:rPr>
          <w:rFonts w:hint="eastAsia" w:ascii="宋体" w:hAnsi="宋体" w:cs="Times New Roman"/>
          <w:b/>
          <w:bCs/>
          <w:sz w:val="32"/>
          <w:szCs w:val="32"/>
          <w:u w:val="none"/>
          <w:lang w:val="en-US" w:eastAsia="zh-CN"/>
        </w:rPr>
        <w:t>三</w:t>
      </w:r>
      <w:r>
        <w:rPr>
          <w:rFonts w:hint="eastAsia" w:ascii="宋体" w:hAnsi="宋体" w:eastAsia="宋体" w:cs="Times New Roman"/>
          <w:b/>
          <w:bCs/>
          <w:sz w:val="32"/>
          <w:szCs w:val="32"/>
          <w:u w:val="none"/>
          <w:lang w:val="en-US" w:eastAsia="zh-CN"/>
        </w:rPr>
        <w:t>章《响应文件及附件》）。</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4.3各响应人法定代表人或其授权代理人交叉检查确认响应文件密封是否完好，盖章及标志是否符合竞争性磋商文件要求。</w:t>
      </w:r>
    </w:p>
    <w:p>
      <w:pPr>
        <w:adjustRightInd w:val="0"/>
        <w:snapToGrid w:val="0"/>
        <w:spacing w:line="360" w:lineRule="auto"/>
        <w:ind w:firstLine="480" w:firstLineChars="200"/>
        <w:jc w:val="left"/>
        <w:rPr>
          <w:rFonts w:hint="eastAsia" w:ascii="宋体" w:hAnsi="宋体"/>
          <w:sz w:val="24"/>
        </w:rPr>
      </w:pPr>
      <w:r>
        <w:rPr>
          <w:rFonts w:hint="eastAsia" w:ascii="宋体" w:hAnsi="宋体" w:eastAsia="宋体" w:cs="Times New Roman"/>
          <w:sz w:val="24"/>
          <w:lang w:val="en-US" w:eastAsia="zh-CN"/>
        </w:rPr>
        <w:t>4.4</w:t>
      </w:r>
      <w:r>
        <w:rPr>
          <w:rFonts w:hint="eastAsia" w:ascii="宋体" w:hAnsi="宋体"/>
          <w:sz w:val="24"/>
        </w:rPr>
        <w:t>请各</w:t>
      </w:r>
      <w:r>
        <w:rPr>
          <w:rFonts w:hint="eastAsia" w:ascii="宋体" w:hAnsi="宋体"/>
          <w:sz w:val="24"/>
          <w:lang w:val="en-US" w:eastAsia="zh-CN"/>
        </w:rPr>
        <w:t>响应人</w:t>
      </w:r>
      <w:r>
        <w:rPr>
          <w:rFonts w:hint="eastAsia" w:ascii="宋体" w:hAnsi="宋体"/>
          <w:sz w:val="24"/>
        </w:rPr>
        <w:t>回避，由</w:t>
      </w:r>
      <w:r>
        <w:rPr>
          <w:rFonts w:hint="eastAsia" w:ascii="宋体" w:hAnsi="宋体"/>
          <w:sz w:val="24"/>
          <w:lang w:val="en-US" w:eastAsia="zh-CN"/>
        </w:rPr>
        <w:t>采购人</w:t>
      </w:r>
      <w:r>
        <w:rPr>
          <w:rFonts w:hint="eastAsia" w:ascii="宋体" w:hAnsi="宋体"/>
          <w:sz w:val="24"/>
        </w:rPr>
        <w:t>工作人员</w:t>
      </w:r>
      <w:r>
        <w:rPr>
          <w:rFonts w:hint="eastAsia" w:ascii="宋体" w:hAnsi="宋体"/>
          <w:sz w:val="24"/>
          <w:lang w:val="en-US" w:eastAsia="zh-CN"/>
        </w:rPr>
        <w:t>逐一通知</w:t>
      </w:r>
      <w:r>
        <w:rPr>
          <w:rFonts w:hint="eastAsia" w:ascii="宋体" w:hAnsi="宋体"/>
          <w:sz w:val="24"/>
          <w:lang w:eastAsia="zh-CN"/>
        </w:rPr>
        <w:t>响应人</w:t>
      </w:r>
      <w:r>
        <w:rPr>
          <w:rFonts w:hint="eastAsia" w:ascii="宋体" w:hAnsi="宋体"/>
          <w:sz w:val="24"/>
          <w:lang w:val="en-US" w:eastAsia="zh-CN"/>
        </w:rPr>
        <w:t>进行二次报价及服务承诺</w:t>
      </w:r>
      <w:r>
        <w:rPr>
          <w:rFonts w:hint="eastAsia" w:ascii="宋体" w:hAnsi="宋体"/>
          <w:sz w:val="24"/>
        </w:rPr>
        <w:t>。</w:t>
      </w:r>
    </w:p>
    <w:p>
      <w:pPr>
        <w:pStyle w:val="5"/>
        <w:bidi w:val="0"/>
        <w:rPr>
          <w:rFonts w:hint="eastAsia"/>
          <w:lang w:eastAsia="zh-CN"/>
        </w:rPr>
      </w:pPr>
      <w:bookmarkStart w:id="58" w:name="_Toc19674"/>
      <w:r>
        <w:rPr>
          <w:rFonts w:hint="eastAsia"/>
        </w:rPr>
        <w:t>5.</w:t>
      </w:r>
      <w:r>
        <w:rPr>
          <w:rFonts w:hint="eastAsia"/>
          <w:lang w:val="en-US" w:eastAsia="zh-CN"/>
        </w:rPr>
        <w:t>评审</w:t>
      </w:r>
      <w:bookmarkEnd w:id="58"/>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5.1磋商小组由采购人组成。</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5.2具体的评审办法详见第三章。</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5.3成交通知书</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5.3.1采购人在磋商小组出具的评审报告推荐的中标或者成交候选人中按顺序确定中标或者成交供应商，自中标、成交供应商确定之日起2个工作日内，发出中标、成交通知书。中标（成交）通知书对采购人和中标供应商具有同等法律效力。</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中标、成交公告期结束后（发布公告同竞争性磋商公告同一网址），若未收到任何质疑投诉，采购人将以书面形式通知成交的响应人。</w:t>
      </w:r>
    </w:p>
    <w:p>
      <w:pPr>
        <w:spacing w:line="360" w:lineRule="auto"/>
        <w:ind w:firstLine="480" w:firstLineChars="200"/>
        <w:rPr>
          <w:rFonts w:hint="eastAsia" w:ascii="宋体" w:hAnsi="宋体" w:eastAsia="宋体" w:cs="Times New Roman"/>
          <w:sz w:val="24"/>
          <w:lang w:val="en-US" w:eastAsia="zh-CN"/>
        </w:rPr>
      </w:pPr>
      <w:bookmarkStart w:id="59" w:name="_Toc24024"/>
      <w:r>
        <w:rPr>
          <w:rFonts w:hint="eastAsia" w:ascii="宋体" w:hAnsi="宋体" w:eastAsia="宋体" w:cs="Times New Roman"/>
          <w:sz w:val="24"/>
          <w:lang w:val="en-US" w:eastAsia="zh-CN"/>
        </w:rPr>
        <w:t>6.合同协议书的签署</w:t>
      </w:r>
      <w:bookmarkEnd w:id="59"/>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6.1采购人与成交人将于成交通知书发出之日起30个工作日内，根据竞争性磋商文件和成交人的响应文件订立书面合同，合同模板按采购人合同模板为准。</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6.2若因成交人原因成交人如不按6.1条的规定与采购人订立合同，则采购人将废除授选。</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6.3成交人应当按照合同约定履行义务，完成服务内容，不得将服务内容转让（转包）给他人。</w:t>
      </w: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2"/>
        <w:rPr>
          <w:rFonts w:hint="eastAsia" w:ascii="宋体" w:hAnsi="宋体" w:eastAsia="宋体" w:cs="Times New Roman"/>
          <w:sz w:val="24"/>
          <w:lang w:val="en-US" w:eastAsia="zh-CN"/>
        </w:rPr>
      </w:pPr>
    </w:p>
    <w:p>
      <w:pPr>
        <w:rPr>
          <w:rFonts w:hint="eastAsia" w:ascii="宋体" w:hAnsi="宋体" w:eastAsia="宋体" w:cs="Times New Roman"/>
          <w:sz w:val="24"/>
          <w:lang w:val="en-US" w:eastAsia="zh-CN"/>
        </w:rPr>
      </w:pPr>
    </w:p>
    <w:p>
      <w:pPr>
        <w:pStyle w:val="3"/>
        <w:bidi w:val="0"/>
        <w:spacing w:line="240" w:lineRule="auto"/>
        <w:rPr>
          <w:rFonts w:hint="eastAsia" w:ascii="宋体" w:hAnsi="宋体" w:eastAsia="宋体" w:cs="宋体"/>
          <w:szCs w:val="32"/>
          <w:lang w:val="en-US" w:eastAsia="zh-Hans"/>
        </w:rPr>
      </w:pPr>
      <w:bookmarkStart w:id="60" w:name="_Toc10238"/>
      <w:bookmarkStart w:id="61" w:name="_Toc4205"/>
      <w:r>
        <w:rPr>
          <w:rFonts w:hint="eastAsia"/>
          <w:lang w:val="en-US" w:eastAsia="zh-CN"/>
        </w:rPr>
        <w:t>第二章 技术要求</w:t>
      </w:r>
      <w:r>
        <w:rPr>
          <w:rFonts w:hint="eastAsia"/>
          <w:lang w:val="en-US" w:eastAsia="zh-Hans"/>
        </w:rPr>
        <w:t>及商务要求</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44644"/>
          <w:kern w:val="0"/>
          <w:sz w:val="24"/>
          <w:szCs w:val="24"/>
          <w:shd w:val="clear" w:color="auto" w:fill="FFFFFF"/>
          <w:lang w:val="en-US" w:eastAsia="zh-CN" w:bidi="ar-SA"/>
        </w:rPr>
      </w:pPr>
      <w:r>
        <w:rPr>
          <w:rFonts w:hint="eastAsia" w:ascii="宋体" w:hAnsi="宋体" w:eastAsia="宋体" w:cs="宋体"/>
          <w:color w:val="344644"/>
          <w:kern w:val="0"/>
          <w:sz w:val="24"/>
          <w:szCs w:val="24"/>
          <w:shd w:val="clear" w:color="auto" w:fill="FFFFFF"/>
          <w:lang w:val="en-US" w:eastAsia="zh-CN" w:bidi="ar-SA"/>
        </w:rPr>
        <w:t>一、技术要求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344644"/>
          <w:kern w:val="0"/>
          <w:sz w:val="24"/>
          <w:szCs w:val="24"/>
          <w:shd w:val="clear" w:color="auto" w:fill="FFFFFF"/>
          <w:lang w:val="en-US" w:eastAsia="zh-CN" w:bidi="ar-SA"/>
        </w:rPr>
      </w:pPr>
      <w:r>
        <w:rPr>
          <w:rFonts w:hint="eastAsia" w:ascii="宋体" w:hAnsi="宋体" w:eastAsia="宋体" w:cs="宋体"/>
          <w:color w:val="344644"/>
          <w:kern w:val="0"/>
          <w:sz w:val="24"/>
          <w:szCs w:val="24"/>
          <w:shd w:val="clear" w:color="auto" w:fill="FFFFFF"/>
          <w:lang w:val="en-US" w:eastAsia="zh-CN" w:bidi="ar-SA"/>
        </w:rPr>
        <w:t xml:space="preserve">1、区域性评估内容 </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344644"/>
          <w:kern w:val="0"/>
          <w:sz w:val="24"/>
          <w:szCs w:val="24"/>
          <w:shd w:val="clear" w:color="auto" w:fill="FFFFFF"/>
          <w:lang w:val="en-US" w:eastAsia="zh-CN" w:bidi="ar-SA"/>
        </w:rPr>
      </w:pPr>
      <w:r>
        <w:rPr>
          <w:rFonts w:hint="eastAsia" w:ascii="宋体" w:hAnsi="宋体" w:eastAsia="宋体" w:cs="宋体"/>
          <w:color w:val="344644"/>
          <w:kern w:val="0"/>
          <w:sz w:val="24"/>
          <w:szCs w:val="24"/>
          <w:shd w:val="clear" w:color="auto" w:fill="FFFFFF"/>
          <w:lang w:val="en-US" w:eastAsia="zh-CN" w:bidi="ar-SA"/>
        </w:rPr>
        <w:t>根据项目实施前的摸底报告，进行社会稳定风险评估，出具相关部门认可的《社会稳定风险评估报告》，包括土地征收风险或土地征收+房屋征收风险，社会稳定风险主要包括：1、项目的合法性；2、项目的合理性；3、项目可行性；4、资金风险；5、土地权属纠纷风险；6、房屋、土地征迁补偿安置风险；7、后期拆除风险；8、生态环境和交通风险；9、社会舆论风险。</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成交单位</w:t>
      </w:r>
      <w:r>
        <w:rPr>
          <w:rFonts w:hint="eastAsia" w:ascii="宋体" w:hAnsi="宋体" w:eastAsia="宋体" w:cs="宋体"/>
          <w:sz w:val="24"/>
          <w:szCs w:val="24"/>
        </w:rPr>
        <w:t>不得将受托项目转包或分包给其他单位或个人。</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严格按国家政策、规范进行编制，依据《贵州省重大行政决策程序实施办法》（贵州省人民政府令第197号）文件编制规定要求进行社会稳定风险评估，保证其合理性、真实性；评估报告必须满足国家、省、市现行编制规范深度及招标文件的要求和质量标准。严格维护</w:t>
      </w:r>
      <w:r>
        <w:rPr>
          <w:rFonts w:hint="eastAsia" w:ascii="宋体" w:hAnsi="宋体" w:cs="宋体"/>
          <w:sz w:val="24"/>
          <w:szCs w:val="24"/>
          <w:lang w:eastAsia="zh-CN"/>
        </w:rPr>
        <w:t>采购人</w:t>
      </w:r>
      <w:r>
        <w:rPr>
          <w:rFonts w:hint="eastAsia" w:ascii="宋体" w:hAnsi="宋体" w:eastAsia="宋体" w:cs="宋体"/>
          <w:sz w:val="24"/>
          <w:szCs w:val="24"/>
        </w:rPr>
        <w:t>的合法利益。</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负责解释本项目社会稳定风险评估文件，参与</w:t>
      </w:r>
      <w:r>
        <w:rPr>
          <w:rFonts w:hint="eastAsia" w:ascii="宋体" w:hAnsi="宋体" w:cs="宋体"/>
          <w:sz w:val="24"/>
          <w:szCs w:val="24"/>
          <w:lang w:eastAsia="zh-CN"/>
        </w:rPr>
        <w:t>采购人</w:t>
      </w:r>
      <w:r>
        <w:rPr>
          <w:rFonts w:hint="eastAsia" w:ascii="宋体" w:hAnsi="宋体" w:eastAsia="宋体" w:cs="宋体"/>
          <w:sz w:val="24"/>
          <w:szCs w:val="24"/>
        </w:rPr>
        <w:t>召开的工程相关工作会议。</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5、园区内的</w:t>
      </w:r>
      <w:r>
        <w:rPr>
          <w:rFonts w:hint="eastAsia" w:ascii="宋体" w:hAnsi="宋体" w:eastAsia="宋体" w:cs="宋体"/>
          <w:sz w:val="24"/>
          <w:szCs w:val="24"/>
        </w:rPr>
        <w:t>工程</w:t>
      </w:r>
      <w:r>
        <w:rPr>
          <w:rFonts w:hint="eastAsia" w:ascii="宋体" w:hAnsi="宋体" w:cs="宋体"/>
          <w:sz w:val="24"/>
          <w:szCs w:val="24"/>
          <w:lang w:val="en-US" w:eastAsia="zh-CN"/>
        </w:rPr>
        <w:t>建设</w:t>
      </w:r>
      <w:r>
        <w:rPr>
          <w:rFonts w:hint="eastAsia" w:ascii="宋体" w:hAnsi="宋体" w:eastAsia="宋体" w:cs="宋体"/>
          <w:sz w:val="24"/>
          <w:szCs w:val="24"/>
        </w:rPr>
        <w:t>过程中如遇社会稳定评估方面的检查或答疑，</w:t>
      </w:r>
      <w:r>
        <w:rPr>
          <w:rFonts w:hint="eastAsia" w:ascii="宋体" w:hAnsi="宋体" w:cs="宋体"/>
          <w:sz w:val="24"/>
          <w:szCs w:val="24"/>
          <w:lang w:eastAsia="zh-CN"/>
        </w:rPr>
        <w:t>成交单位</w:t>
      </w:r>
      <w:r>
        <w:rPr>
          <w:rFonts w:hint="eastAsia" w:ascii="宋体" w:hAnsi="宋体" w:eastAsia="宋体" w:cs="宋体"/>
          <w:sz w:val="24"/>
          <w:szCs w:val="24"/>
        </w:rPr>
        <w:t>需配合澄清直至工程</w:t>
      </w:r>
      <w:r>
        <w:rPr>
          <w:rFonts w:hint="eastAsia" w:ascii="宋体" w:hAnsi="宋体" w:cs="宋体"/>
          <w:sz w:val="24"/>
          <w:szCs w:val="24"/>
          <w:lang w:val="en-US" w:eastAsia="zh-CN"/>
        </w:rPr>
        <w:t>建设</w:t>
      </w:r>
      <w:r>
        <w:rPr>
          <w:rFonts w:hint="eastAsia" w:ascii="宋体" w:hAnsi="宋体" w:eastAsia="宋体" w:cs="宋体"/>
          <w:sz w:val="24"/>
          <w:szCs w:val="24"/>
        </w:rPr>
        <w:t>结束。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编制的社会稳定评估报告需取得专家评审及相关行政审批部门批复。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二、商务要求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服务期：30日历天。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服务地点：采购人指定。</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、验收标准、规范：</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编制成果应符合国家发展改革委办公厅《关于印发重大固定资产投资项目社会稳定风险分析篇章和评估报告编制大纲（试行）的通知》（发改办投资[2013]428 号）</w:t>
      </w:r>
      <w:r>
        <w:rPr>
          <w:rFonts w:hint="eastAsia" w:ascii="宋体" w:hAnsi="宋体" w:cs="宋体"/>
          <w:sz w:val="24"/>
          <w:szCs w:val="24"/>
          <w:lang w:val="en-US" w:eastAsia="zh-CN"/>
        </w:rPr>
        <w:t>、</w:t>
      </w:r>
      <w:r>
        <w:rPr>
          <w:rFonts w:hint="eastAsia" w:ascii="宋体" w:hAnsi="宋体" w:eastAsia="宋体" w:cs="宋体"/>
          <w:sz w:val="24"/>
          <w:szCs w:val="24"/>
        </w:rPr>
        <w:t>《贵州省重大行政决策程序实施办法》（贵州省人民政府令第197号）</w:t>
      </w:r>
      <w:r>
        <w:rPr>
          <w:rFonts w:hint="eastAsia" w:ascii="宋体" w:hAnsi="宋体" w:eastAsia="宋体" w:cs="宋体"/>
          <w:sz w:val="24"/>
          <w:szCs w:val="24"/>
          <w:lang w:val="en-US" w:eastAsia="zh-CN"/>
        </w:rPr>
        <w:t>及国家、地方相关规范，本次编制服务所有成果内容及深度应严格符合相关法律、法规、标准和技术规范的要求，</w:t>
      </w:r>
      <w:r>
        <w:rPr>
          <w:rFonts w:hint="eastAsia" w:ascii="宋体" w:hAnsi="宋体" w:cs="宋体"/>
          <w:sz w:val="24"/>
          <w:szCs w:val="24"/>
          <w:lang w:val="en-US" w:eastAsia="zh-CN"/>
        </w:rPr>
        <w:t>并通过政法部门备案。</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eastAsia="宋体" w:cs="宋体"/>
          <w:sz w:val="24"/>
          <w:szCs w:val="24"/>
          <w:lang w:val="en-US" w:eastAsia="zh-CN"/>
        </w:rPr>
        <w:t xml:space="preserve">、售后服务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ind w:left="0" w:right="0" w:firstLine="42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针对本服务内容提供咨询、答疑等支撑服务</w:t>
      </w:r>
      <w:r>
        <w:rPr>
          <w:rFonts w:hint="eastAsia" w:ascii="宋体" w:hAnsi="宋体" w:cs="宋体"/>
          <w:sz w:val="24"/>
          <w:szCs w:val="24"/>
          <w:lang w:val="en-US" w:eastAsia="zh-CN"/>
        </w:rPr>
        <w:t>，如遇园区内的</w:t>
      </w:r>
      <w:r>
        <w:rPr>
          <w:rFonts w:hint="eastAsia" w:ascii="宋体" w:hAnsi="宋体" w:eastAsia="宋体" w:cs="宋体"/>
          <w:sz w:val="24"/>
          <w:szCs w:val="24"/>
        </w:rPr>
        <w:t>工程</w:t>
      </w:r>
      <w:r>
        <w:rPr>
          <w:rFonts w:hint="eastAsia" w:ascii="宋体" w:hAnsi="宋体" w:cs="宋体"/>
          <w:sz w:val="24"/>
          <w:szCs w:val="24"/>
          <w:lang w:val="en-US" w:eastAsia="zh-CN"/>
        </w:rPr>
        <w:t>建设</w:t>
      </w:r>
      <w:r>
        <w:rPr>
          <w:rFonts w:hint="eastAsia" w:ascii="宋体" w:hAnsi="宋体" w:eastAsia="宋体" w:cs="宋体"/>
          <w:sz w:val="24"/>
          <w:szCs w:val="24"/>
        </w:rPr>
        <w:t>过程中如遇社会稳定评估方面的检查或答疑，</w:t>
      </w:r>
      <w:r>
        <w:rPr>
          <w:rFonts w:hint="eastAsia" w:ascii="宋体" w:hAnsi="宋体" w:cs="宋体"/>
          <w:sz w:val="24"/>
          <w:szCs w:val="24"/>
          <w:lang w:eastAsia="zh-CN"/>
        </w:rPr>
        <w:t>成交单位</w:t>
      </w:r>
      <w:r>
        <w:rPr>
          <w:rFonts w:hint="eastAsia" w:ascii="宋体" w:hAnsi="宋体" w:eastAsia="宋体" w:cs="宋体"/>
          <w:sz w:val="24"/>
          <w:szCs w:val="24"/>
        </w:rPr>
        <w:t>需配合澄清直至工程</w:t>
      </w:r>
      <w:r>
        <w:rPr>
          <w:rFonts w:hint="eastAsia" w:ascii="宋体" w:hAnsi="宋体" w:cs="宋体"/>
          <w:sz w:val="24"/>
          <w:szCs w:val="24"/>
          <w:lang w:val="en-US" w:eastAsia="zh-CN"/>
        </w:rPr>
        <w:t>建设</w:t>
      </w:r>
      <w:r>
        <w:rPr>
          <w:rFonts w:hint="eastAsia" w:ascii="宋体" w:hAnsi="宋体" w:eastAsia="宋体" w:cs="宋体"/>
          <w:sz w:val="24"/>
          <w:szCs w:val="24"/>
        </w:rPr>
        <w:t>结束。</w:t>
      </w:r>
      <w:r>
        <w:rPr>
          <w:rFonts w:hint="eastAsia" w:ascii="宋体" w:hAnsi="宋体" w:eastAsia="宋体" w:cs="宋体"/>
          <w:sz w:val="24"/>
          <w:szCs w:val="24"/>
          <w:lang w:val="en-US" w:eastAsia="zh-CN"/>
        </w:rPr>
        <w:t xml:space="preserve"> 如在具体地块报批过程中，需进一步细化风评相关资料，须配合完善。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五</w:t>
      </w:r>
      <w:r>
        <w:rPr>
          <w:rFonts w:hint="eastAsia" w:ascii="宋体" w:hAnsi="宋体" w:eastAsia="宋体" w:cs="宋体"/>
          <w:sz w:val="24"/>
          <w:szCs w:val="24"/>
          <w:lang w:val="en-US" w:eastAsia="zh-CN"/>
        </w:rPr>
        <w:t xml:space="preserve">、付款方式 </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另外协商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、投标有效期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60 日历天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六、其他要求 </w:t>
      </w:r>
    </w:p>
    <w:p>
      <w:pPr>
        <w:spacing w:line="360" w:lineRule="auto"/>
        <w:ind w:firstLine="480" w:firstLineChars="200"/>
        <w:rPr>
          <w:rFonts w:hint="default" w:eastAsia="宋体"/>
          <w:lang w:val="en-US" w:eastAsia="zh-CN"/>
        </w:rPr>
      </w:pPr>
      <w:r>
        <w:rPr>
          <w:rFonts w:hint="eastAsia" w:ascii="宋体" w:hAnsi="宋体" w:eastAsia="宋体" w:cs="宋体"/>
          <w:sz w:val="24"/>
        </w:rPr>
        <w:t>若</w:t>
      </w:r>
      <w:r>
        <w:rPr>
          <w:rFonts w:hint="eastAsia" w:ascii="宋体" w:hAnsi="宋体" w:eastAsia="宋体" w:cs="宋体"/>
          <w:sz w:val="24"/>
          <w:lang w:eastAsia="zh-CN"/>
        </w:rPr>
        <w:t>成交单位</w:t>
      </w:r>
      <w:r>
        <w:rPr>
          <w:rFonts w:hint="eastAsia" w:ascii="宋体" w:hAnsi="宋体" w:eastAsia="宋体" w:cs="宋体"/>
          <w:sz w:val="24"/>
        </w:rPr>
        <w:t>在合同履行过程中不积极主动完成相关工作，采购人可视情况进行约谈。如经两次约谈后，</w:t>
      </w:r>
      <w:r>
        <w:rPr>
          <w:rFonts w:hint="eastAsia" w:ascii="宋体" w:hAnsi="宋体" w:eastAsia="宋体" w:cs="宋体"/>
          <w:sz w:val="24"/>
          <w:lang w:eastAsia="zh-CN"/>
        </w:rPr>
        <w:t>成交单位</w:t>
      </w:r>
      <w:r>
        <w:rPr>
          <w:rFonts w:hint="eastAsia" w:ascii="宋体" w:hAnsi="宋体" w:eastAsia="宋体" w:cs="宋体"/>
          <w:sz w:val="24"/>
        </w:rPr>
        <w:t>工作仍未达到采购人的要求，采购人有权无条件解除合同。</w:t>
      </w:r>
    </w:p>
    <w:p>
      <w:pPr>
        <w:pStyle w:val="2"/>
        <w:rPr>
          <w:rFonts w:hint="eastAsia"/>
          <w:lang w:val="en-US" w:eastAsia="zh-CN"/>
        </w:rPr>
      </w:pPr>
    </w:p>
    <w:bookmarkEnd w:id="56"/>
    <w:bookmarkEnd w:id="57"/>
    <w:p>
      <w:pPr>
        <w:pStyle w:val="25"/>
        <w:rPr>
          <w:rFonts w:hint="eastAsia" w:ascii="宋体" w:eastAsia="宋体"/>
        </w:rPr>
      </w:pPr>
      <w:bookmarkStart w:id="62" w:name="_Hlt41378071"/>
      <w:bookmarkEnd w:id="62"/>
      <w:bookmarkStart w:id="63" w:name="_Toc204077235"/>
      <w:bookmarkStart w:id="64" w:name="_Toc36356289"/>
      <w:bookmarkStart w:id="65" w:name="_Toc231700757"/>
      <w:bookmarkStart w:id="66" w:name="_Toc41899282"/>
      <w:bookmarkStart w:id="67" w:name="_Toc36351837"/>
      <w:bookmarkStart w:id="68" w:name="_Toc82577302"/>
      <w:bookmarkStart w:id="69" w:name="_Toc109100504"/>
      <w:bookmarkStart w:id="70" w:name="_Toc514062493"/>
      <w:bookmarkStart w:id="71" w:name="_Toc9074"/>
      <w:bookmarkStart w:id="72" w:name="_Toc33779480"/>
      <w:bookmarkStart w:id="73" w:name="_Toc32412"/>
      <w:r>
        <w:rPr>
          <w:rFonts w:hint="eastAsia" w:ascii="宋体" w:eastAsia="宋体"/>
        </w:rPr>
        <w:t>第</w:t>
      </w:r>
      <w:r>
        <w:rPr>
          <w:rFonts w:hint="eastAsia" w:ascii="宋体" w:eastAsia="宋体"/>
          <w:lang w:val="en-US" w:eastAsia="zh-CN"/>
        </w:rPr>
        <w:t>三</w:t>
      </w:r>
      <w:r>
        <w:rPr>
          <w:rFonts w:hint="eastAsia" w:ascii="宋体" w:eastAsia="宋体"/>
        </w:rPr>
        <w:t xml:space="preserve">章 </w:t>
      </w:r>
      <w:bookmarkEnd w:id="63"/>
      <w:bookmarkEnd w:id="64"/>
      <w:bookmarkEnd w:id="65"/>
      <w:bookmarkEnd w:id="66"/>
      <w:bookmarkEnd w:id="67"/>
      <w:bookmarkEnd w:id="68"/>
      <w:bookmarkEnd w:id="69"/>
      <w:bookmarkEnd w:id="70"/>
      <w:r>
        <w:rPr>
          <w:rFonts w:hint="eastAsia" w:ascii="宋体" w:eastAsia="宋体"/>
          <w:lang w:eastAsia="zh-CN"/>
        </w:rPr>
        <w:t>响应文件</w:t>
      </w:r>
      <w:r>
        <w:rPr>
          <w:rFonts w:hint="eastAsia" w:ascii="宋体" w:eastAsia="宋体"/>
        </w:rPr>
        <w:t>及附件</w:t>
      </w:r>
      <w:bookmarkEnd w:id="71"/>
      <w:bookmarkEnd w:id="72"/>
      <w:bookmarkEnd w:id="73"/>
    </w:p>
    <w:p>
      <w:pPr>
        <w:pStyle w:val="4"/>
        <w:numPr>
          <w:ilvl w:val="0"/>
          <w:numId w:val="0"/>
        </w:numPr>
        <w:rPr>
          <w:rFonts w:hint="eastAsia" w:ascii="宋体" w:hAnsi="宋体"/>
          <w:b/>
          <w:sz w:val="32"/>
          <w:szCs w:val="32"/>
        </w:rPr>
      </w:pPr>
      <w:bookmarkStart w:id="74" w:name="_Hlt41302996"/>
      <w:bookmarkEnd w:id="74"/>
      <w:bookmarkStart w:id="75" w:name="_Toc82577303"/>
      <w:bookmarkStart w:id="76" w:name="_Toc231700758"/>
      <w:bookmarkStart w:id="77" w:name="_Toc204077236"/>
      <w:bookmarkStart w:id="78" w:name="_Toc33779481"/>
      <w:bookmarkStart w:id="79" w:name="_Toc9880"/>
      <w:bookmarkStart w:id="80" w:name="_Toc109100505"/>
      <w:r>
        <w:rPr>
          <w:rFonts w:hint="eastAsia" w:ascii="宋体" w:hAnsi="宋体"/>
          <w:b/>
          <w:sz w:val="32"/>
          <w:szCs w:val="32"/>
        </w:rPr>
        <w:t>一、报价函</w:t>
      </w:r>
      <w:bookmarkEnd w:id="75"/>
      <w:bookmarkEnd w:id="76"/>
      <w:bookmarkEnd w:id="77"/>
      <w:bookmarkEnd w:id="78"/>
      <w:bookmarkEnd w:id="79"/>
      <w:bookmarkEnd w:id="80"/>
    </w:p>
    <w:p>
      <w:pPr>
        <w:pStyle w:val="11"/>
        <w:adjustRightInd w:val="0"/>
        <w:snapToGrid w:val="0"/>
        <w:spacing w:line="360" w:lineRule="auto"/>
        <w:rPr>
          <w:rFonts w:hint="eastAsia" w:hAnsi="宋体"/>
          <w:b/>
          <w:sz w:val="24"/>
          <w:szCs w:val="24"/>
        </w:rPr>
      </w:pPr>
    </w:p>
    <w:p>
      <w:pPr>
        <w:pStyle w:val="11"/>
        <w:adjustRightInd w:val="0"/>
        <w:snapToGrid w:val="0"/>
        <w:spacing w:line="360" w:lineRule="auto"/>
        <w:rPr>
          <w:rFonts w:hint="eastAsia" w:hAnsi="宋体"/>
          <w:sz w:val="24"/>
          <w:szCs w:val="24"/>
        </w:rPr>
      </w:pPr>
      <w:r>
        <w:rPr>
          <w:rFonts w:hint="eastAsia" w:hAnsi="宋体"/>
          <w:sz w:val="24"/>
          <w:szCs w:val="24"/>
        </w:rPr>
        <w:t>致：</w:t>
      </w:r>
      <w:r>
        <w:rPr>
          <w:rFonts w:hint="eastAsia" w:hAnsi="宋体"/>
          <w:sz w:val="24"/>
          <w:szCs w:val="24"/>
          <w:u w:val="single"/>
        </w:rPr>
        <w:t xml:space="preserve">   （</w:t>
      </w:r>
      <w:r>
        <w:rPr>
          <w:rFonts w:hint="eastAsia" w:hAnsi="宋体"/>
          <w:sz w:val="24"/>
          <w:szCs w:val="24"/>
          <w:u w:val="single"/>
          <w:lang w:eastAsia="zh-CN"/>
        </w:rPr>
        <w:t>采购人</w:t>
      </w:r>
      <w:r>
        <w:rPr>
          <w:rFonts w:hint="eastAsia" w:hAnsi="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1.我公司就</w:t>
      </w:r>
      <w:r>
        <w:rPr>
          <w:rFonts w:hint="eastAsia" w:ascii="宋体" w:hAnsi="宋体" w:eastAsia="宋体" w:cs="宋体"/>
          <w:highlight w:val="none"/>
          <w:u w:val="single"/>
        </w:rPr>
        <w:t xml:space="preserve"> （项目名称） </w:t>
      </w:r>
      <w:r>
        <w:rPr>
          <w:rFonts w:hint="eastAsia" w:ascii="宋体" w:hAnsi="宋体" w:eastAsia="宋体" w:cs="宋体"/>
          <w:highlight w:val="none"/>
        </w:rPr>
        <w:t>的竞标初始报价为（大写）：</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元人民币，小写：</w:t>
      </w:r>
      <w:r>
        <w:rPr>
          <w:rFonts w:hint="eastAsia" w:ascii="宋体" w:hAnsi="宋体" w:eastAsia="宋体" w:cs="宋体"/>
          <w:highlight w:val="none"/>
          <w:u w:val="single"/>
        </w:rPr>
        <w:t xml:space="preserve">    </w:t>
      </w:r>
      <w:r>
        <w:rPr>
          <w:rFonts w:hint="eastAsia" w:ascii="宋体" w:hAnsi="宋体" w:eastAsia="宋体" w:cs="宋体"/>
          <w:highlight w:val="none"/>
        </w:rPr>
        <w:t>元。本报价为验收合格并</w:t>
      </w:r>
      <w:r>
        <w:rPr>
          <w:rFonts w:hint="eastAsia" w:ascii="宋体" w:hAnsi="宋体" w:eastAsia="宋体" w:cs="宋体"/>
          <w:highlight w:val="none"/>
          <w:lang w:val="en-US" w:eastAsia="zh-CN"/>
        </w:rPr>
        <w:t>获得相关主管部门批复（或备案）所包含的全部工作的费用。包括但不限于报告编制费、现场勘查费、资料费、评审费及税金等全部费用。</w:t>
      </w:r>
      <w:r>
        <w:rPr>
          <w:rFonts w:hint="eastAsia" w:ascii="宋体" w:hAnsi="宋体" w:eastAsia="宋体" w:cs="宋体"/>
          <w:highlight w:val="none"/>
        </w:rPr>
        <w:t>合同价以最终报价为准，最终报价在竞标有效期内固定不变，并在合同有效期内不受利率波动的影响。</w:t>
      </w:r>
    </w:p>
    <w:p>
      <w:pPr>
        <w:keepNext w:val="0"/>
        <w:keepLines w:val="0"/>
        <w:pageBreakBefore w:val="0"/>
        <w:widowControl w:val="0"/>
        <w:kinsoku/>
        <w:wordWrap/>
        <w:overflowPunct/>
        <w:topLinePunct w:val="0"/>
        <w:autoSpaceDE/>
        <w:autoSpaceDN/>
        <w:bidi w:val="0"/>
        <w:adjustRightInd/>
        <w:snapToGrid/>
        <w:spacing w:before="120" w:beforeLines="50" w:after="120" w:afterLines="50" w:line="240" w:lineRule="auto"/>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服</w:t>
      </w:r>
      <w:r>
        <w:rPr>
          <w:rFonts w:hint="eastAsia" w:ascii="宋体" w:hAnsi="宋体" w:eastAsia="宋体" w:cs="宋体"/>
          <w:highlight w:val="none"/>
        </w:rPr>
        <w:t xml:space="preserve"> </w:t>
      </w:r>
      <w:r>
        <w:rPr>
          <w:rFonts w:hint="eastAsia" w:ascii="宋体" w:hAnsi="宋体" w:eastAsia="宋体" w:cs="宋体"/>
          <w:highlight w:val="none"/>
          <w:lang w:val="en-US" w:eastAsia="zh-CN"/>
        </w:rPr>
        <w:t>务</w:t>
      </w:r>
      <w:r>
        <w:rPr>
          <w:rFonts w:hint="eastAsia" w:ascii="宋体" w:hAnsi="宋体" w:eastAsia="宋体" w:cs="宋体"/>
          <w:highlight w:val="none"/>
        </w:rPr>
        <w:t xml:space="preserve"> 期：</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p>
    <w:p>
      <w:pPr>
        <w:keepNext w:val="0"/>
        <w:keepLines w:val="0"/>
        <w:pageBreakBefore w:val="0"/>
        <w:widowControl w:val="0"/>
        <w:kinsoku/>
        <w:wordWrap/>
        <w:overflowPunct/>
        <w:topLinePunct w:val="0"/>
        <w:autoSpaceDE/>
        <w:autoSpaceDN/>
        <w:bidi w:val="0"/>
        <w:adjustRightInd/>
        <w:snapToGrid/>
        <w:spacing w:before="120" w:beforeLines="50" w:after="120" w:afterLines="50" w:line="240" w:lineRule="auto"/>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服务</w:t>
      </w:r>
      <w:r>
        <w:rPr>
          <w:rFonts w:hint="eastAsia" w:ascii="宋体" w:hAnsi="宋体" w:eastAsia="宋体" w:cs="宋体"/>
          <w:highlight w:val="none"/>
        </w:rPr>
        <w:t>地点：</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p>
    <w:p>
      <w:pPr>
        <w:pStyle w:val="2"/>
        <w:spacing w:line="240" w:lineRule="auto"/>
        <w:rPr>
          <w:rFonts w:hint="default" w:eastAsia="宋体"/>
          <w:sz w:val="21"/>
          <w:szCs w:val="21"/>
          <w:u w:val="single"/>
          <w:lang w:val="en-US" w:eastAsia="zh-CN"/>
        </w:rPr>
      </w:pPr>
      <w:r>
        <w:rPr>
          <w:rFonts w:hint="eastAsia" w:ascii="宋体" w:hAnsi="宋体" w:eastAsia="宋体" w:cs="宋体"/>
          <w:sz w:val="21"/>
          <w:szCs w:val="21"/>
          <w:highlight w:val="none"/>
          <w:lang w:val="en-US" w:eastAsia="zh-CN"/>
        </w:rPr>
        <w:t>4.售后服务：</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120" w:beforeLines="50" w:after="120" w:afterLines="50" w:line="240" w:lineRule="auto"/>
        <w:ind w:left="-10" w:leftChars="-5" w:firstLine="430" w:firstLineChars="20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.竞标有效期：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0" w:firstLineChars="200"/>
        <w:textAlignment w:val="auto"/>
        <w:rPr>
          <w:rFonts w:hint="eastAsia" w:hAnsi="宋体"/>
          <w:sz w:val="24"/>
        </w:rPr>
      </w:pP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color w:val="002060"/>
          <w:highlight w:val="none"/>
        </w:rPr>
        <w:t>其他：</w:t>
      </w:r>
      <w:r>
        <w:rPr>
          <w:rFonts w:hint="eastAsia" w:ascii="宋体" w:hAnsi="宋体" w:eastAsia="宋体" w:cs="宋体"/>
          <w:color w:val="002060"/>
          <w:highlight w:val="none"/>
          <w:u w:val="single"/>
        </w:rPr>
        <w:t xml:space="preserve">              </w:t>
      </w:r>
      <w:r>
        <w:rPr>
          <w:rFonts w:hint="eastAsia" w:ascii="宋体" w:hAnsi="宋体" w:eastAsia="宋体" w:cs="宋体"/>
          <w:color w:val="002060"/>
          <w:highlight w:val="none"/>
          <w:u w:val="none"/>
        </w:rPr>
        <w:t>。</w:t>
      </w:r>
      <w:r>
        <w:rPr>
          <w:rFonts w:hint="eastAsia" w:hAnsi="宋体"/>
          <w:sz w:val="24"/>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80"/>
        <w:textAlignment w:val="auto"/>
        <w:rPr>
          <w:rFonts w:hint="eastAsia" w:ascii="宋体" w:hAnsi="宋体" w:eastAsia="宋体" w:cs="宋体"/>
          <w:highlight w:val="none"/>
        </w:rPr>
      </w:pPr>
      <w:r>
        <w:rPr>
          <w:rFonts w:hint="eastAsia" w:ascii="宋体" w:hAnsi="宋体" w:eastAsia="宋体" w:cs="宋体"/>
          <w:highlight w:val="none"/>
        </w:rPr>
        <w:t>二、递交资料</w:t>
      </w:r>
    </w:p>
    <w:p>
      <w:pPr>
        <w:keepNext w:val="0"/>
        <w:keepLines w:val="0"/>
        <w:pageBreakBefore w:val="0"/>
        <w:widowControl w:val="0"/>
        <w:kinsoku/>
        <w:wordWrap/>
        <w:overflowPunct/>
        <w:topLinePunct w:val="0"/>
        <w:autoSpaceDE/>
        <w:autoSpaceDN/>
        <w:bidi w:val="0"/>
        <w:adjustRightInd/>
        <w:snapToGrid/>
        <w:spacing w:before="240" w:beforeLines="100" w:after="120" w:afterLines="50" w:line="360" w:lineRule="exact"/>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响应文件正本</w:t>
      </w:r>
      <w:r>
        <w:rPr>
          <w:rFonts w:hint="eastAsia" w:ascii="宋体" w:hAnsi="宋体" w:eastAsia="宋体" w:cs="宋体"/>
          <w:highlight w:val="none"/>
          <w:u w:val="single"/>
        </w:rPr>
        <w:t xml:space="preserve">   1  </w:t>
      </w:r>
      <w:r>
        <w:rPr>
          <w:rFonts w:hint="eastAsia" w:ascii="宋体" w:hAnsi="宋体" w:eastAsia="宋体" w:cs="宋体"/>
          <w:highlight w:val="none"/>
        </w:rPr>
        <w:t>份，副本</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1</w:t>
      </w:r>
      <w:r>
        <w:rPr>
          <w:rFonts w:hint="eastAsia" w:ascii="宋体" w:hAnsi="宋体" w:eastAsia="宋体" w:cs="宋体"/>
          <w:highlight w:val="none"/>
          <w:u w:val="single"/>
        </w:rPr>
        <w:t xml:space="preserve">  </w:t>
      </w:r>
      <w:r>
        <w:rPr>
          <w:rFonts w:hint="eastAsia" w:ascii="宋体" w:hAnsi="宋体" w:eastAsia="宋体" w:cs="宋体"/>
          <w:highlight w:val="none"/>
        </w:rPr>
        <w:t>份。</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80"/>
        <w:textAlignment w:val="auto"/>
        <w:rPr>
          <w:rFonts w:hint="eastAsia" w:ascii="宋体" w:hAnsi="宋体" w:eastAsia="宋体" w:cs="宋体"/>
          <w:highlight w:val="none"/>
        </w:rPr>
      </w:pPr>
      <w:r>
        <w:rPr>
          <w:rFonts w:hint="eastAsia" w:ascii="宋体" w:hAnsi="宋体" w:eastAsia="宋体" w:cs="宋体"/>
          <w:highlight w:val="none"/>
        </w:rPr>
        <w:t>三、相关承诺</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1.最终报价在法律法规及</w:t>
      </w:r>
      <w:r>
        <w:rPr>
          <w:rFonts w:hint="eastAsia" w:ascii="宋体" w:hAnsi="宋体" w:cs="宋体"/>
          <w:highlight w:val="none"/>
          <w:lang w:eastAsia="zh-CN"/>
        </w:rPr>
        <w:t>磋商</w:t>
      </w:r>
      <w:r>
        <w:rPr>
          <w:rFonts w:hint="eastAsia" w:ascii="宋体" w:hAnsi="宋体" w:eastAsia="宋体" w:cs="宋体"/>
          <w:highlight w:val="none"/>
        </w:rPr>
        <w:t>采购文件规定的竞标有效期内有效。</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2.我方不是采购人的附属机构；在获知本项目采购信息后，与采购人聘请的为此项目提供咨询服务的公司及其附属机构没有任何联系。</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3.我公司已详细审查全部</w:t>
      </w:r>
      <w:r>
        <w:rPr>
          <w:rFonts w:hint="eastAsia" w:ascii="宋体" w:hAnsi="宋体" w:cs="宋体"/>
          <w:highlight w:val="none"/>
          <w:lang w:eastAsia="zh-CN"/>
        </w:rPr>
        <w:t>磋商</w:t>
      </w:r>
      <w:r>
        <w:rPr>
          <w:rFonts w:hint="eastAsia" w:ascii="宋体" w:hAnsi="宋体" w:eastAsia="宋体" w:cs="宋体"/>
          <w:highlight w:val="none"/>
        </w:rPr>
        <w:t>采购文件及有关的澄清/修改文件，完全理解和同意，并保证遵守</w:t>
      </w:r>
      <w:r>
        <w:rPr>
          <w:rFonts w:hint="eastAsia" w:ascii="宋体" w:hAnsi="宋体" w:cs="宋体"/>
          <w:highlight w:val="none"/>
          <w:lang w:eastAsia="zh-CN"/>
        </w:rPr>
        <w:t>磋商</w:t>
      </w:r>
      <w:r>
        <w:rPr>
          <w:rFonts w:hint="eastAsia" w:ascii="宋体" w:hAnsi="宋体" w:eastAsia="宋体" w:cs="宋体"/>
          <w:highlight w:val="none"/>
        </w:rPr>
        <w:t>采购文件有关条款规定。</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4.保证在</w:t>
      </w:r>
      <w:r>
        <w:rPr>
          <w:rFonts w:hint="eastAsia" w:ascii="宋体" w:hAnsi="宋体" w:cs="宋体"/>
          <w:highlight w:val="none"/>
          <w:lang w:eastAsia="zh-CN"/>
        </w:rPr>
        <w:t>磋商</w:t>
      </w:r>
      <w:r>
        <w:rPr>
          <w:rFonts w:hint="eastAsia" w:ascii="宋体" w:hAnsi="宋体" w:eastAsia="宋体" w:cs="宋体"/>
          <w:highlight w:val="none"/>
        </w:rPr>
        <w:t>成交后忠实地执行与采购人所签署的合同，并承担合同规定的责任义务。保证在</w:t>
      </w:r>
      <w:r>
        <w:rPr>
          <w:rFonts w:hint="eastAsia" w:ascii="宋体" w:hAnsi="宋体" w:cs="宋体"/>
          <w:highlight w:val="none"/>
          <w:lang w:eastAsia="zh-CN"/>
        </w:rPr>
        <w:t>磋商</w:t>
      </w:r>
      <w:r>
        <w:rPr>
          <w:rFonts w:hint="eastAsia" w:ascii="宋体" w:hAnsi="宋体" w:eastAsia="宋体" w:cs="宋体"/>
          <w:highlight w:val="none"/>
        </w:rPr>
        <w:t>成交后按照</w:t>
      </w:r>
      <w:r>
        <w:rPr>
          <w:rFonts w:hint="eastAsia" w:ascii="宋体" w:hAnsi="宋体" w:cs="宋体"/>
          <w:highlight w:val="none"/>
          <w:lang w:eastAsia="zh-CN"/>
        </w:rPr>
        <w:t>磋商</w:t>
      </w:r>
      <w:r>
        <w:rPr>
          <w:rFonts w:hint="eastAsia" w:ascii="宋体" w:hAnsi="宋体" w:eastAsia="宋体" w:cs="宋体"/>
          <w:highlight w:val="none"/>
        </w:rPr>
        <w:t>采购文件的规定支付</w:t>
      </w:r>
      <w:r>
        <w:rPr>
          <w:rFonts w:hint="eastAsia" w:ascii="宋体" w:hAnsi="宋体" w:cs="宋体"/>
          <w:highlight w:val="none"/>
          <w:lang w:eastAsia="zh-CN"/>
        </w:rPr>
        <w:t>磋商</w:t>
      </w:r>
      <w:r>
        <w:rPr>
          <w:rFonts w:hint="eastAsia" w:ascii="宋体" w:hAnsi="宋体" w:eastAsia="宋体" w:cs="宋体"/>
          <w:highlight w:val="none"/>
        </w:rPr>
        <w:t>成交服务费。</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5.承诺应贵方要求提供任何与该项目竞标有关的数据、情况和技术资料。</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6.承诺与为采购人采购本次招标的产品进行设计、编制规范和其他文件所委托的咨询公司或其附属机构无任何直接或间接的关联。</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left="-10" w:leftChars="-5" w:firstLine="430" w:firstLineChars="205"/>
        <w:textAlignment w:val="auto"/>
        <w:rPr>
          <w:rFonts w:hint="eastAsia" w:ascii="宋体" w:hAnsi="宋体" w:eastAsia="宋体" w:cs="宋体"/>
          <w:highlight w:val="none"/>
        </w:rPr>
      </w:pPr>
      <w:r>
        <w:rPr>
          <w:rFonts w:hint="eastAsia" w:ascii="宋体" w:hAnsi="宋体" w:eastAsia="宋体" w:cs="宋体"/>
          <w:highlight w:val="none"/>
        </w:rPr>
        <w:t>7.本响应文件提供的报价、资格、技术、商务等文件均真实、有效、准确。若有违背，我方愿意承担由此而产生的一切后果。</w:t>
      </w:r>
    </w:p>
    <w:p>
      <w:pPr>
        <w:pStyle w:val="11"/>
        <w:adjustRightInd w:val="0"/>
        <w:snapToGrid w:val="0"/>
        <w:spacing w:line="360" w:lineRule="auto"/>
        <w:ind w:firstLine="480"/>
        <w:rPr>
          <w:rFonts w:hint="default" w:ascii="宋体" w:hAnsi="宋体" w:eastAsia="宋体" w:cs="Times New Roman"/>
          <w:sz w:val="24"/>
          <w:lang w:val="en-US" w:eastAsia="zh-CN"/>
        </w:rPr>
      </w:pPr>
    </w:p>
    <w:p>
      <w:pPr>
        <w:pStyle w:val="11"/>
        <w:adjustRightInd w:val="0"/>
        <w:snapToGrid w:val="0"/>
        <w:spacing w:line="360" w:lineRule="auto"/>
        <w:ind w:firstLine="480"/>
        <w:rPr>
          <w:rFonts w:hint="eastAsia" w:hAnsi="宋体"/>
          <w:sz w:val="24"/>
          <w:szCs w:val="24"/>
        </w:rPr>
      </w:pPr>
    </w:p>
    <w:p>
      <w:pPr>
        <w:pStyle w:val="11"/>
        <w:adjustRightInd w:val="0"/>
        <w:snapToGrid w:val="0"/>
        <w:spacing w:line="360" w:lineRule="auto"/>
        <w:ind w:firstLine="1440" w:firstLineChars="600"/>
        <w:rPr>
          <w:rFonts w:hint="eastAsia" w:hAnsi="宋体"/>
          <w:sz w:val="24"/>
          <w:szCs w:val="24"/>
        </w:rPr>
      </w:pPr>
    </w:p>
    <w:p>
      <w:pPr>
        <w:pStyle w:val="11"/>
        <w:adjustRightInd w:val="0"/>
        <w:snapToGrid w:val="0"/>
        <w:spacing w:line="360" w:lineRule="auto"/>
        <w:ind w:firstLine="1680" w:firstLineChars="700"/>
        <w:rPr>
          <w:rFonts w:hint="eastAsia" w:hAnsi="宋体"/>
          <w:sz w:val="24"/>
          <w:szCs w:val="24"/>
        </w:rPr>
      </w:pPr>
      <w:r>
        <w:rPr>
          <w:rFonts w:hint="eastAsia" w:hAnsi="宋体"/>
          <w:sz w:val="24"/>
          <w:szCs w:val="24"/>
          <w:lang w:eastAsia="zh-CN"/>
        </w:rPr>
        <w:t>响应人</w:t>
      </w:r>
      <w:r>
        <w:rPr>
          <w:rFonts w:hint="eastAsia" w:hAnsi="宋体"/>
          <w:sz w:val="24"/>
          <w:szCs w:val="24"/>
        </w:rPr>
        <w:t>：</w:t>
      </w:r>
      <w:r>
        <w:rPr>
          <w:rFonts w:hint="eastAsia" w:hAnsi="宋体"/>
          <w:sz w:val="24"/>
          <w:szCs w:val="24"/>
          <w:u w:val="single"/>
        </w:rPr>
        <w:t xml:space="preserve">     （全称、盖公章）    </w:t>
      </w: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u w:val="single"/>
        </w:rPr>
      </w:pPr>
      <w:r>
        <w:rPr>
          <w:rFonts w:hint="eastAsia" w:hAnsi="宋体"/>
          <w:sz w:val="24"/>
          <w:szCs w:val="24"/>
        </w:rPr>
        <w:t>单位地址：</w:t>
      </w:r>
      <w:r>
        <w:rPr>
          <w:rFonts w:hint="eastAsia" w:hAnsi="宋体"/>
          <w:sz w:val="24"/>
          <w:szCs w:val="24"/>
          <w:u w:val="single"/>
        </w:rPr>
        <w:t xml:space="preserve">                         </w:t>
      </w: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u w:val="single"/>
        </w:rPr>
      </w:pPr>
      <w:r>
        <w:rPr>
          <w:rFonts w:hint="eastAsia" w:hAnsi="宋体"/>
          <w:sz w:val="24"/>
          <w:szCs w:val="24"/>
        </w:rPr>
        <w:t>法定代表人或其委托代理人：</w:t>
      </w:r>
      <w:r>
        <w:rPr>
          <w:rFonts w:hint="eastAsia" w:hAnsi="宋体"/>
          <w:sz w:val="24"/>
          <w:szCs w:val="24"/>
          <w:u w:val="single"/>
        </w:rPr>
        <w:t xml:space="preserve">  （签字或盖章 ）</w:t>
      </w: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r>
        <w:rPr>
          <w:rFonts w:hint="eastAsia" w:hAnsi="宋体"/>
          <w:sz w:val="24"/>
          <w:szCs w:val="24"/>
        </w:rPr>
        <w:t>电话：</w:t>
      </w:r>
      <w:r>
        <w:rPr>
          <w:rFonts w:hint="eastAsia" w:hAnsi="宋体"/>
          <w:sz w:val="24"/>
          <w:szCs w:val="24"/>
          <w:u w:val="single"/>
        </w:rPr>
        <w:t xml:space="preserve">         </w:t>
      </w:r>
      <w:r>
        <w:rPr>
          <w:rFonts w:hint="eastAsia" w:hAnsi="宋体"/>
          <w:sz w:val="24"/>
          <w:szCs w:val="24"/>
        </w:rPr>
        <w:t xml:space="preserve"> 传真：</w:t>
      </w:r>
      <w:r>
        <w:rPr>
          <w:rFonts w:hint="eastAsia" w:hAnsi="宋体"/>
          <w:sz w:val="24"/>
          <w:szCs w:val="24"/>
          <w:u w:val="single"/>
        </w:rPr>
        <w:t xml:space="preserve">         </w:t>
      </w: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r>
        <w:rPr>
          <w:rFonts w:hint="eastAsia" w:hAnsi="宋体"/>
          <w:sz w:val="24"/>
          <w:szCs w:val="24"/>
        </w:rPr>
        <w:t>日    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11"/>
        <w:adjustRightInd w:val="0"/>
        <w:snapToGrid w:val="0"/>
        <w:spacing w:line="360" w:lineRule="auto"/>
        <w:ind w:firstLine="1695"/>
        <w:rPr>
          <w:rFonts w:hint="eastAsia" w:hAnsi="宋体"/>
          <w:sz w:val="24"/>
          <w:szCs w:val="24"/>
        </w:rPr>
      </w:pPr>
    </w:p>
    <w:p>
      <w:pPr>
        <w:pStyle w:val="5"/>
        <w:spacing w:line="240" w:lineRule="auto"/>
        <w:jc w:val="center"/>
        <w:outlineLvl w:val="1"/>
        <w:rPr>
          <w:rFonts w:hint="eastAsia" w:ascii="宋体" w:hAnsi="宋体" w:eastAsia="宋体" w:cs="Times New Roman"/>
          <w:b/>
          <w:bCs w:val="0"/>
          <w:kern w:val="2"/>
          <w:sz w:val="32"/>
          <w:szCs w:val="32"/>
          <w:lang w:val="en-US" w:eastAsia="zh-CN" w:bidi="ar-SA"/>
        </w:rPr>
      </w:pPr>
      <w:bookmarkStart w:id="81" w:name="_Toc27591"/>
      <w:bookmarkStart w:id="82" w:name="_Toc231700761"/>
      <w:bookmarkStart w:id="83" w:name="_Toc204077239"/>
      <w:bookmarkStart w:id="84" w:name="_Toc10294"/>
      <w:bookmarkStart w:id="85" w:name="_Toc2283"/>
      <w:bookmarkStart w:id="86" w:name="_Toc29871"/>
      <w:bookmarkStart w:id="87" w:name="_Toc153854282"/>
      <w:bookmarkStart w:id="88" w:name="_Toc13212"/>
      <w:bookmarkStart w:id="89" w:name="_Toc19784"/>
      <w:bookmarkStart w:id="90" w:name="_Toc568"/>
      <w:bookmarkStart w:id="91" w:name="_Toc33779483"/>
      <w:r>
        <w:rPr>
          <w:rFonts w:hint="eastAsia" w:ascii="宋体" w:hAnsi="宋体" w:eastAsia="宋体" w:cs="Times New Roman"/>
          <w:b/>
          <w:bCs w:val="0"/>
          <w:kern w:val="2"/>
          <w:sz w:val="32"/>
          <w:szCs w:val="32"/>
          <w:lang w:val="en-US" w:eastAsia="zh-CN" w:bidi="ar-SA"/>
        </w:rPr>
        <w:t>二、法定代表人资格证明书</w:t>
      </w:r>
      <w:bookmarkEnd w:id="81"/>
      <w:bookmarkEnd w:id="82"/>
      <w:bookmarkEnd w:id="83"/>
      <w:bookmarkEnd w:id="84"/>
      <w:bookmarkEnd w:id="85"/>
      <w:bookmarkEnd w:id="86"/>
      <w:bookmarkEnd w:id="87"/>
      <w:bookmarkEnd w:id="88"/>
      <w:bookmarkEnd w:id="89"/>
      <w:bookmarkEnd w:id="90"/>
      <w:bookmarkEnd w:id="91"/>
    </w:p>
    <w:p>
      <w:pPr>
        <w:tabs>
          <w:tab w:val="left" w:pos="5400"/>
        </w:tabs>
        <w:ind w:firstLine="540"/>
        <w:jc w:val="center"/>
        <w:rPr>
          <w:rFonts w:hint="eastAsia" w:ascii="宋体" w:hAnsi="宋体"/>
          <w:sz w:val="24"/>
        </w:rPr>
      </w:pPr>
    </w:p>
    <w:p>
      <w:pPr>
        <w:tabs>
          <w:tab w:val="left" w:pos="5400"/>
        </w:tabs>
        <w:ind w:firstLine="540"/>
        <w:jc w:val="center"/>
        <w:rPr>
          <w:rFonts w:hint="eastAsia" w:ascii="宋体" w:hAnsi="宋体"/>
          <w:sz w:val="24"/>
        </w:rPr>
      </w:pPr>
    </w:p>
    <w:p>
      <w:pPr>
        <w:pStyle w:val="9"/>
        <w:spacing w:before="240" w:beforeLines="100" w:after="120" w:afterLines="50" w:line="360" w:lineRule="auto"/>
        <w:ind w:left="0" w:leftChars="0" w:firstLine="0" w:firstLineChars="0"/>
        <w:rPr>
          <w:rFonts w:hint="eastAsia" w:ascii="宋体" w:hAnsi="宋体" w:eastAsia="宋体" w:cs="宋体"/>
          <w:szCs w:val="24"/>
          <w:highlight w:val="none"/>
        </w:rPr>
      </w:pPr>
      <w:r>
        <w:rPr>
          <w:rFonts w:hint="eastAsia" w:ascii="宋体" w:hAnsi="宋体" w:eastAsia="宋体" w:cs="宋体"/>
          <w:szCs w:val="24"/>
          <w:highlight w:val="none"/>
        </w:rPr>
        <w:t>致</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rPr>
        <w:t>（采购</w:t>
      </w:r>
      <w:r>
        <w:rPr>
          <w:rFonts w:hint="eastAsia" w:ascii="宋体" w:hAnsi="宋体" w:eastAsia="宋体" w:cs="宋体"/>
          <w:szCs w:val="24"/>
          <w:highlight w:val="none"/>
          <w:lang w:val="en-US" w:eastAsia="zh-CN"/>
        </w:rPr>
        <w:t>人</w:t>
      </w:r>
      <w:r>
        <w:rPr>
          <w:rFonts w:hint="eastAsia" w:ascii="宋体" w:hAnsi="宋体" w:eastAsia="宋体" w:cs="宋体"/>
          <w:szCs w:val="24"/>
          <w:highlight w:val="none"/>
        </w:rPr>
        <w:t>）：</w:t>
      </w:r>
    </w:p>
    <w:p>
      <w:pPr>
        <w:pStyle w:val="9"/>
        <w:spacing w:before="240" w:beforeLines="100" w:after="120" w:afterLines="50" w:line="360" w:lineRule="auto"/>
        <w:ind w:left="0" w:leftChars="0" w:firstLine="420" w:firstLineChars="200"/>
        <w:rPr>
          <w:rFonts w:hint="eastAsia" w:ascii="宋体" w:hAnsi="宋体" w:eastAsia="宋体" w:cs="宋体"/>
          <w:szCs w:val="24"/>
          <w:highlight w:val="none"/>
        </w:rPr>
      </w:pPr>
      <w:r>
        <w:rPr>
          <w:rFonts w:hint="eastAsia" w:ascii="宋体" w:hAnsi="宋体" w:eastAsia="宋体" w:cs="宋体"/>
          <w:szCs w:val="24"/>
          <w:highlight w:val="none"/>
          <w:u w:val="single"/>
        </w:rPr>
        <w:t xml:space="preserve">（竞标供应商全称） </w:t>
      </w:r>
      <w:r>
        <w:rPr>
          <w:rFonts w:hint="eastAsia" w:ascii="宋体" w:hAnsi="宋体" w:eastAsia="宋体" w:cs="宋体"/>
          <w:szCs w:val="24"/>
          <w:highlight w:val="none"/>
        </w:rPr>
        <w:t>法定代表人</w:t>
      </w:r>
      <w:r>
        <w:rPr>
          <w:rFonts w:hint="eastAsia" w:ascii="宋体" w:hAnsi="宋体" w:eastAsia="宋体" w:cs="宋体"/>
          <w:szCs w:val="24"/>
          <w:highlight w:val="none"/>
          <w:u w:val="single"/>
        </w:rPr>
        <w:t xml:space="preserve"> 姓名</w:t>
      </w:r>
      <w:r>
        <w:rPr>
          <w:rFonts w:hint="eastAsia" w:ascii="宋体" w:hAnsi="宋体" w:eastAsia="宋体" w:cs="宋体"/>
          <w:szCs w:val="24"/>
          <w:highlight w:val="none"/>
        </w:rPr>
        <w:t>（身份证号码：</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rPr>
        <w:t>），参加贵方组织的</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rPr>
        <w:t>项目名称）的</w:t>
      </w:r>
      <w:r>
        <w:rPr>
          <w:rFonts w:hint="eastAsia" w:ascii="宋体" w:hAnsi="宋体" w:eastAsia="宋体" w:cs="宋体"/>
          <w:szCs w:val="24"/>
          <w:highlight w:val="none"/>
          <w:lang w:val="en-US" w:eastAsia="zh-CN"/>
        </w:rPr>
        <w:t>竞争性</w:t>
      </w:r>
      <w:r>
        <w:rPr>
          <w:rFonts w:hint="eastAsia" w:ascii="宋体" w:hAnsi="宋体" w:cs="宋体"/>
          <w:szCs w:val="24"/>
          <w:highlight w:val="none"/>
          <w:lang w:val="en-US" w:eastAsia="zh-CN"/>
        </w:rPr>
        <w:t>磋商</w:t>
      </w:r>
      <w:r>
        <w:rPr>
          <w:rFonts w:hint="eastAsia" w:ascii="宋体" w:hAnsi="宋体" w:eastAsia="宋体" w:cs="宋体"/>
          <w:szCs w:val="24"/>
          <w:highlight w:val="none"/>
        </w:rPr>
        <w:t>，代表本公司处理</w:t>
      </w:r>
      <w:r>
        <w:rPr>
          <w:rFonts w:hint="eastAsia" w:ascii="宋体" w:hAnsi="宋体" w:eastAsia="宋体" w:cs="宋体"/>
          <w:szCs w:val="24"/>
          <w:highlight w:val="none"/>
          <w:lang w:val="en-US" w:eastAsia="zh-CN"/>
        </w:rPr>
        <w:t>竞争性</w:t>
      </w:r>
      <w:r>
        <w:rPr>
          <w:rFonts w:hint="eastAsia" w:ascii="宋体" w:hAnsi="宋体" w:cs="宋体"/>
          <w:szCs w:val="24"/>
          <w:highlight w:val="none"/>
          <w:lang w:val="en-US" w:eastAsia="zh-CN"/>
        </w:rPr>
        <w:t>磋商</w:t>
      </w:r>
      <w:r>
        <w:rPr>
          <w:rFonts w:hint="eastAsia" w:ascii="宋体" w:hAnsi="宋体" w:eastAsia="宋体" w:cs="宋体"/>
          <w:szCs w:val="24"/>
          <w:highlight w:val="none"/>
        </w:rPr>
        <w:t>中的一切事宜。</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4560" w:type="dxa"/>
            <w:noWrap w:val="0"/>
            <w:vAlign w:val="center"/>
          </w:tcPr>
          <w:p>
            <w:pPr>
              <w:pStyle w:val="9"/>
              <w:spacing w:before="240" w:beforeLines="100" w:after="120" w:afterLines="50" w:line="240" w:lineRule="auto"/>
              <w:rPr>
                <w:rFonts w:hint="eastAsia" w:ascii="宋体" w:hAnsi="宋体" w:eastAsia="宋体" w:cs="宋体"/>
                <w:szCs w:val="24"/>
                <w:highlight w:val="none"/>
              </w:rPr>
            </w:pPr>
            <w:r>
              <w:rPr>
                <w:rFonts w:hint="eastAsia" w:ascii="宋体" w:hAnsi="宋体" w:eastAsia="宋体" w:cs="宋体"/>
                <w:szCs w:val="24"/>
                <w:highlight w:val="none"/>
              </w:rPr>
              <w:t>法定代表人身份证复印件</w:t>
            </w:r>
          </w:p>
          <w:p>
            <w:pPr>
              <w:pStyle w:val="9"/>
              <w:spacing w:before="240" w:beforeLines="100" w:after="120" w:afterLines="50" w:line="240" w:lineRule="auto"/>
              <w:rPr>
                <w:rFonts w:hint="eastAsia" w:ascii="宋体" w:hAnsi="宋体" w:eastAsia="宋体" w:cs="宋体"/>
                <w:szCs w:val="24"/>
                <w:highlight w:val="none"/>
              </w:rPr>
            </w:pPr>
            <w:r>
              <w:rPr>
                <w:rFonts w:hint="eastAsia" w:ascii="宋体" w:hAnsi="宋体" w:eastAsia="宋体" w:cs="宋体"/>
                <w:szCs w:val="24"/>
                <w:highlight w:val="none"/>
              </w:rPr>
              <w:t>正面</w:t>
            </w:r>
          </w:p>
          <w:p>
            <w:pPr>
              <w:pStyle w:val="9"/>
              <w:spacing w:before="240" w:beforeLines="100" w:after="120" w:afterLines="50" w:line="240" w:lineRule="auto"/>
              <w:rPr>
                <w:rFonts w:hint="eastAsia" w:ascii="宋体" w:hAnsi="宋体" w:eastAsia="宋体" w:cs="宋体"/>
                <w:szCs w:val="24"/>
                <w:highlight w:val="none"/>
              </w:rPr>
            </w:pPr>
            <w:r>
              <w:rPr>
                <w:rFonts w:hint="eastAsia" w:ascii="宋体" w:hAnsi="宋体" w:eastAsia="宋体" w:cs="宋体"/>
                <w:szCs w:val="24"/>
                <w:highlight w:val="none"/>
              </w:rPr>
              <w:t>（身份证复印件需清晰可辨认）</w:t>
            </w:r>
          </w:p>
        </w:tc>
        <w:tc>
          <w:tcPr>
            <w:tcW w:w="4512" w:type="dxa"/>
            <w:noWrap w:val="0"/>
            <w:vAlign w:val="center"/>
          </w:tcPr>
          <w:p>
            <w:pPr>
              <w:pStyle w:val="9"/>
              <w:spacing w:before="240" w:beforeLines="100" w:after="120" w:afterLines="50" w:line="240" w:lineRule="auto"/>
              <w:rPr>
                <w:rFonts w:hint="eastAsia" w:ascii="宋体" w:hAnsi="宋体" w:eastAsia="宋体" w:cs="宋体"/>
                <w:szCs w:val="24"/>
                <w:highlight w:val="none"/>
              </w:rPr>
            </w:pPr>
            <w:r>
              <w:rPr>
                <w:rFonts w:hint="eastAsia" w:ascii="宋体" w:hAnsi="宋体" w:eastAsia="宋体" w:cs="宋体"/>
                <w:szCs w:val="24"/>
                <w:highlight w:val="none"/>
              </w:rPr>
              <w:t>法定代表人身份证复印件</w:t>
            </w:r>
          </w:p>
          <w:p>
            <w:pPr>
              <w:pStyle w:val="9"/>
              <w:spacing w:before="240" w:beforeLines="100" w:after="120" w:afterLines="50" w:line="240" w:lineRule="auto"/>
              <w:rPr>
                <w:rFonts w:hint="eastAsia" w:ascii="宋体" w:hAnsi="宋体" w:eastAsia="宋体" w:cs="宋体"/>
                <w:szCs w:val="24"/>
                <w:highlight w:val="none"/>
              </w:rPr>
            </w:pPr>
            <w:r>
              <w:rPr>
                <w:rFonts w:hint="eastAsia" w:ascii="宋体" w:hAnsi="宋体" w:eastAsia="宋体" w:cs="宋体"/>
                <w:szCs w:val="24"/>
                <w:highlight w:val="none"/>
              </w:rPr>
              <w:t>反面</w:t>
            </w:r>
          </w:p>
          <w:p>
            <w:pPr>
              <w:pStyle w:val="9"/>
              <w:spacing w:before="240" w:beforeLines="100" w:after="120" w:afterLines="50" w:line="240" w:lineRule="auto"/>
              <w:rPr>
                <w:rFonts w:hint="eastAsia" w:ascii="宋体" w:hAnsi="宋体" w:eastAsia="宋体" w:cs="宋体"/>
                <w:szCs w:val="24"/>
                <w:highlight w:val="none"/>
              </w:rPr>
            </w:pPr>
            <w:r>
              <w:rPr>
                <w:rFonts w:hint="eastAsia" w:ascii="宋体" w:hAnsi="宋体" w:eastAsia="宋体" w:cs="宋体"/>
                <w:szCs w:val="24"/>
                <w:highlight w:val="none"/>
              </w:rPr>
              <w:t>（身份证复印件需清晰可辨认）</w:t>
            </w:r>
          </w:p>
        </w:tc>
      </w:tr>
    </w:tbl>
    <w:p>
      <w:pPr>
        <w:pStyle w:val="9"/>
        <w:spacing w:before="240" w:beforeLines="100" w:after="120" w:afterLines="50" w:line="240" w:lineRule="auto"/>
        <w:rPr>
          <w:rFonts w:hint="eastAsia" w:ascii="宋体" w:hAnsi="宋体" w:eastAsia="宋体" w:cs="宋体"/>
          <w:szCs w:val="24"/>
          <w:highlight w:val="none"/>
        </w:rPr>
      </w:pPr>
      <w:r>
        <w:rPr>
          <w:rFonts w:hint="eastAsia" w:ascii="宋体" w:hAnsi="宋体" w:eastAsia="宋体" w:cs="宋体"/>
          <w:szCs w:val="24"/>
          <w:highlight w:val="none"/>
        </w:rPr>
        <w:t>注：身份证复印件如为粘贴的，须在身份证复印件与本页接缝处加盖公章；</w:t>
      </w:r>
    </w:p>
    <w:p>
      <w:pPr>
        <w:pStyle w:val="9"/>
        <w:spacing w:before="240" w:beforeLines="100" w:after="120" w:afterLines="50" w:line="240" w:lineRule="auto"/>
        <w:rPr>
          <w:rFonts w:hint="eastAsia" w:ascii="宋体" w:hAnsi="宋体" w:eastAsia="宋体" w:cs="宋体"/>
          <w:szCs w:val="24"/>
          <w:highlight w:val="none"/>
        </w:rPr>
      </w:pPr>
    </w:p>
    <w:p>
      <w:pPr>
        <w:pStyle w:val="9"/>
        <w:spacing w:before="240" w:beforeLines="100" w:after="120" w:afterLines="50" w:line="240" w:lineRule="auto"/>
        <w:jc w:val="right"/>
        <w:rPr>
          <w:rFonts w:hint="eastAsia" w:ascii="宋体" w:hAnsi="宋体" w:eastAsia="宋体" w:cs="宋体"/>
          <w:szCs w:val="24"/>
          <w:highlight w:val="none"/>
        </w:rPr>
      </w:pPr>
      <w:r>
        <w:rPr>
          <w:rFonts w:hint="eastAsia" w:ascii="宋体" w:hAnsi="宋体" w:eastAsia="宋体" w:cs="宋体"/>
          <w:szCs w:val="24"/>
          <w:highlight w:val="none"/>
        </w:rPr>
        <w:t>法定代表人（</w:t>
      </w:r>
      <w:r>
        <w:rPr>
          <w:rFonts w:hint="eastAsia" w:ascii="宋体" w:hAnsi="宋体" w:eastAsia="宋体" w:cs="宋体"/>
          <w:szCs w:val="24"/>
          <w:highlight w:val="none"/>
          <w:lang w:val="en-US" w:eastAsia="zh-CN"/>
        </w:rPr>
        <w:t>签字或盖章</w:t>
      </w:r>
      <w:r>
        <w:rPr>
          <w:rFonts w:hint="eastAsia" w:ascii="宋体" w:hAnsi="宋体" w:eastAsia="宋体" w:cs="宋体"/>
          <w:szCs w:val="24"/>
          <w:highlight w:val="none"/>
        </w:rPr>
        <w:t xml:space="preserve">）： </w:t>
      </w:r>
    </w:p>
    <w:p>
      <w:pPr>
        <w:pStyle w:val="9"/>
        <w:spacing w:before="240" w:beforeLines="100" w:after="120" w:afterLines="50" w:line="240" w:lineRule="auto"/>
        <w:ind w:firstLine="5880" w:firstLineChars="2800"/>
        <w:jc w:val="left"/>
        <w:rPr>
          <w:rFonts w:hint="eastAsia" w:ascii="宋体" w:hAnsi="宋体" w:eastAsia="宋体" w:cs="宋体"/>
          <w:b/>
          <w:sz w:val="28"/>
          <w:szCs w:val="28"/>
          <w:highlight w:val="none"/>
        </w:rPr>
      </w:pPr>
      <w:r>
        <w:rPr>
          <w:rFonts w:hint="eastAsia" w:ascii="宋体" w:hAnsi="宋体" w:eastAsia="宋体" w:cs="宋体"/>
          <w:szCs w:val="24"/>
          <w:highlight w:val="none"/>
        </w:rPr>
        <w:t>供应商（公章）：</w:t>
      </w:r>
    </w:p>
    <w:p>
      <w:pPr>
        <w:pStyle w:val="9"/>
        <w:spacing w:before="240" w:beforeLines="100" w:after="120" w:afterLines="50" w:line="240" w:lineRule="auto"/>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竞标日期：</w:t>
      </w:r>
    </w:p>
    <w:p>
      <w:pPr>
        <w:tabs>
          <w:tab w:val="left" w:pos="5400"/>
        </w:tabs>
        <w:adjustRightInd w:val="0"/>
        <w:snapToGrid w:val="0"/>
        <w:spacing w:line="360" w:lineRule="auto"/>
        <w:jc w:val="left"/>
        <w:rPr>
          <w:rFonts w:hint="eastAsia" w:ascii="宋体" w:hAnsi="宋体"/>
          <w:sz w:val="24"/>
        </w:rPr>
      </w:pPr>
    </w:p>
    <w:p>
      <w:pPr>
        <w:tabs>
          <w:tab w:val="left" w:pos="5400"/>
        </w:tabs>
        <w:adjustRightInd w:val="0"/>
        <w:snapToGrid w:val="0"/>
        <w:spacing w:line="360" w:lineRule="auto"/>
        <w:jc w:val="left"/>
        <w:rPr>
          <w:rFonts w:hint="eastAsia" w:ascii="宋体" w:hAnsi="宋体"/>
          <w:sz w:val="24"/>
        </w:rPr>
      </w:pPr>
    </w:p>
    <w:p>
      <w:pPr>
        <w:tabs>
          <w:tab w:val="left" w:pos="5400"/>
        </w:tabs>
        <w:adjustRightInd w:val="0"/>
        <w:snapToGrid w:val="0"/>
        <w:spacing w:line="360" w:lineRule="auto"/>
        <w:jc w:val="left"/>
        <w:rPr>
          <w:rFonts w:hint="eastAsia" w:ascii="宋体" w:hAnsi="宋体"/>
          <w:sz w:val="24"/>
        </w:rPr>
      </w:pPr>
    </w:p>
    <w:p>
      <w:pPr>
        <w:tabs>
          <w:tab w:val="left" w:pos="5400"/>
        </w:tabs>
        <w:adjustRightInd w:val="0"/>
        <w:snapToGrid w:val="0"/>
        <w:spacing w:line="360" w:lineRule="auto"/>
        <w:jc w:val="left"/>
        <w:rPr>
          <w:rFonts w:hint="eastAsia" w:ascii="宋体" w:hAnsi="宋体"/>
          <w:sz w:val="24"/>
        </w:rPr>
      </w:pPr>
    </w:p>
    <w:p>
      <w:pPr>
        <w:pStyle w:val="26"/>
        <w:rPr>
          <w:rFonts w:hint="eastAsia" w:ascii="宋体" w:hAnsi="宋体"/>
          <w:sz w:val="24"/>
        </w:rPr>
      </w:pPr>
    </w:p>
    <w:p>
      <w:pPr>
        <w:pStyle w:val="26"/>
        <w:rPr>
          <w:rFonts w:hint="eastAsia" w:ascii="宋体" w:hAnsi="宋体"/>
          <w:sz w:val="24"/>
        </w:rPr>
      </w:pPr>
    </w:p>
    <w:p>
      <w:pPr>
        <w:pStyle w:val="26"/>
        <w:rPr>
          <w:rFonts w:hint="eastAsia" w:ascii="宋体" w:hAnsi="宋体"/>
          <w:sz w:val="24"/>
        </w:rPr>
      </w:pPr>
    </w:p>
    <w:p>
      <w:pPr>
        <w:pStyle w:val="26"/>
        <w:rPr>
          <w:rFonts w:hint="eastAsia" w:ascii="宋体" w:hAnsi="宋体"/>
          <w:sz w:val="24"/>
        </w:rPr>
      </w:pPr>
    </w:p>
    <w:p>
      <w:pPr>
        <w:tabs>
          <w:tab w:val="left" w:pos="5400"/>
        </w:tabs>
        <w:adjustRightInd w:val="0"/>
        <w:snapToGrid w:val="0"/>
        <w:spacing w:line="360" w:lineRule="auto"/>
        <w:jc w:val="left"/>
        <w:rPr>
          <w:rFonts w:hint="eastAsia" w:ascii="宋体" w:hAnsi="宋体"/>
          <w:sz w:val="24"/>
        </w:rPr>
      </w:pPr>
    </w:p>
    <w:p>
      <w:pPr>
        <w:pStyle w:val="5"/>
        <w:spacing w:line="240" w:lineRule="auto"/>
        <w:jc w:val="center"/>
        <w:outlineLvl w:val="1"/>
        <w:rPr>
          <w:rFonts w:hint="eastAsia" w:ascii="宋体" w:hAnsi="宋体" w:eastAsia="宋体" w:cs="Times New Roman"/>
          <w:b/>
          <w:bCs w:val="0"/>
          <w:kern w:val="2"/>
          <w:sz w:val="32"/>
          <w:szCs w:val="32"/>
          <w:lang w:val="en-US" w:eastAsia="zh-CN" w:bidi="ar-SA"/>
        </w:rPr>
      </w:pPr>
      <w:bookmarkStart w:id="92" w:name="_Toc33779485"/>
      <w:bookmarkStart w:id="93" w:name="_Toc153854284"/>
      <w:bookmarkStart w:id="94" w:name="_Toc204077241"/>
      <w:bookmarkStart w:id="95" w:name="_Toc15973"/>
      <w:bookmarkStart w:id="96" w:name="_Toc8775"/>
      <w:bookmarkStart w:id="97" w:name="_Toc6379"/>
      <w:bookmarkStart w:id="98" w:name="_Toc15568"/>
      <w:bookmarkStart w:id="99" w:name="_Toc231700763"/>
      <w:bookmarkStart w:id="100" w:name="_Toc2108"/>
      <w:bookmarkStart w:id="101" w:name="_Toc4002"/>
      <w:bookmarkStart w:id="102" w:name="_Toc5828"/>
      <w:r>
        <w:rPr>
          <w:rFonts w:hint="eastAsia" w:ascii="宋体" w:hAnsi="宋体" w:eastAsia="宋体" w:cs="Times New Roman"/>
          <w:b/>
          <w:bCs w:val="0"/>
          <w:kern w:val="2"/>
          <w:sz w:val="32"/>
          <w:szCs w:val="32"/>
          <w:lang w:val="en-US" w:eastAsia="zh-CN" w:bidi="ar-SA"/>
        </w:rPr>
        <w:t>二、授权委托书</w:t>
      </w:r>
      <w:bookmarkEnd w:id="92"/>
      <w:bookmarkEnd w:id="93"/>
      <w:bookmarkEnd w:id="94"/>
      <w:bookmarkEnd w:id="95"/>
      <w:bookmarkEnd w:id="96"/>
      <w:bookmarkEnd w:id="97"/>
      <w:bookmarkEnd w:id="98"/>
      <w:bookmarkEnd w:id="99"/>
      <w:bookmarkEnd w:id="100"/>
      <w:bookmarkEnd w:id="101"/>
      <w:bookmarkEnd w:id="102"/>
    </w:p>
    <w:p>
      <w:pPr>
        <w:tabs>
          <w:tab w:val="left" w:pos="5400"/>
        </w:tabs>
        <w:adjustRightInd w:val="0"/>
        <w:snapToGrid w:val="0"/>
        <w:spacing w:line="360" w:lineRule="auto"/>
        <w:ind w:firstLine="540"/>
        <w:jc w:val="center"/>
        <w:rPr>
          <w:rFonts w:hint="eastAsia" w:ascii="宋体" w:hAnsi="宋体"/>
          <w:b/>
          <w:bCs/>
          <w:sz w:val="24"/>
        </w:rPr>
      </w:pPr>
      <w:r>
        <w:rPr>
          <w:rFonts w:hint="eastAsia" w:ascii="宋体" w:hAnsi="宋体"/>
          <w:b/>
          <w:bCs/>
          <w:sz w:val="24"/>
        </w:rPr>
        <w:t>（如</w:t>
      </w:r>
      <w:r>
        <w:rPr>
          <w:rFonts w:hint="eastAsia" w:ascii="宋体" w:hAnsi="宋体"/>
          <w:b/>
          <w:bCs/>
          <w:sz w:val="24"/>
          <w:lang w:eastAsia="zh-CN"/>
        </w:rPr>
        <w:t>响应文件</w:t>
      </w:r>
      <w:r>
        <w:rPr>
          <w:rFonts w:hint="eastAsia" w:ascii="宋体" w:hAnsi="宋体"/>
          <w:b/>
          <w:bCs/>
          <w:sz w:val="24"/>
        </w:rPr>
        <w:t>由法定代表人签署，则不需附此委托书）</w:t>
      </w:r>
    </w:p>
    <w:p>
      <w:pPr>
        <w:pStyle w:val="9"/>
        <w:spacing w:before="240" w:beforeLines="100" w:after="120" w:afterLines="5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（竞标供应商全称） </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姓名 </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 xml:space="preserve"> 被授权人姓名</w:t>
      </w: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）为本公司合法代理人，参加贵方组织的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竞争性</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，代表本公司处理</w:t>
      </w:r>
      <w:r>
        <w:rPr>
          <w:rFonts w:hint="eastAsia" w:ascii="宋体" w:hAnsi="宋体" w:eastAsia="宋体" w:cs="宋体"/>
          <w:sz w:val="24"/>
          <w:szCs w:val="24"/>
          <w:highlight w:val="none"/>
          <w:lang w:val="en-US" w:eastAsia="zh-CN"/>
        </w:rPr>
        <w:t>竞争性</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中的一切事宜。</w:t>
      </w:r>
    </w:p>
    <w:p>
      <w:pPr>
        <w:pStyle w:val="9"/>
        <w:spacing w:before="240" w:beforeLines="100" w:after="120" w:afterLines="50" w:line="360" w:lineRule="auto"/>
        <w:ind w:left="0" w:leftChars="0" w:firstLine="480" w:firstLineChars="200"/>
        <w:rPr>
          <w:rFonts w:hAnsi="宋体" w:cs="宋体"/>
          <w:b/>
          <w:bCs/>
          <w:sz w:val="24"/>
        </w:rPr>
      </w:pPr>
      <w:r>
        <w:rPr>
          <w:rFonts w:hint="eastAsia" w:ascii="宋体" w:hAnsi="宋体" w:eastAsia="宋体" w:cs="宋体"/>
          <w:sz w:val="24"/>
          <w:szCs w:val="24"/>
          <w:highlight w:val="none"/>
        </w:rPr>
        <w:t>本授权委托书签章即生效，被委托人无转委托权。</w:t>
      </w:r>
    </w:p>
    <w:p>
      <w:pPr>
        <w:spacing w:line="360" w:lineRule="auto"/>
        <w:ind w:firstLine="480" w:firstLineChars="200"/>
        <w:rPr>
          <w:rFonts w:hAnsi="宋体" w:cs="宋体"/>
          <w:b/>
          <w:bCs/>
          <w:sz w:val="24"/>
        </w:rPr>
      </w:pPr>
      <w:r>
        <w:rPr>
          <w:rFonts w:hint="eastAsia" w:hAnsi="宋体" w:cs="宋体"/>
          <w:bCs/>
          <w:sz w:val="24"/>
        </w:rPr>
        <w:t>代理人无转委托权，特此委托。</w:t>
      </w:r>
    </w:p>
    <w:tbl>
      <w:tblPr>
        <w:tblStyle w:val="16"/>
        <w:tblpPr w:leftFromText="180" w:rightFromText="180" w:vertAnchor="text" w:horzAnchor="page" w:tblpXSpec="center" w:tblpY="23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9"/>
        <w:gridCol w:w="4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4179" w:type="dxa"/>
            <w:noWrap w:val="0"/>
            <w:vAlign w:val="center"/>
          </w:tcPr>
          <w:p>
            <w:pPr>
              <w:spacing w:before="240" w:beforeLines="100" w:after="120" w:afterLines="50" w:line="360" w:lineRule="auto"/>
              <w:jc w:val="center"/>
              <w:rPr>
                <w:rFonts w:hAnsi="宋体" w:cs="宋体"/>
                <w:b/>
                <w:bCs/>
                <w:sz w:val="24"/>
              </w:rPr>
            </w:pPr>
            <w:r>
              <w:rPr>
                <w:rFonts w:hint="eastAsia" w:hAnsi="宋体" w:cs="宋体"/>
                <w:bCs/>
                <w:sz w:val="24"/>
              </w:rPr>
              <w:t>法定代表人身份证复印件</w:t>
            </w:r>
          </w:p>
          <w:p>
            <w:pPr>
              <w:spacing w:before="240" w:beforeLines="100" w:after="120" w:afterLines="50" w:line="360" w:lineRule="auto"/>
              <w:jc w:val="center"/>
              <w:rPr>
                <w:rFonts w:hAnsi="宋体" w:cs="宋体"/>
                <w:b/>
                <w:bCs/>
                <w:sz w:val="24"/>
              </w:rPr>
            </w:pPr>
            <w:r>
              <w:rPr>
                <w:rFonts w:hint="eastAsia" w:hAnsi="宋体" w:cs="宋体"/>
                <w:bCs/>
                <w:sz w:val="24"/>
              </w:rPr>
              <w:t>正面</w:t>
            </w:r>
          </w:p>
          <w:p>
            <w:pPr>
              <w:spacing w:before="240" w:beforeLines="100" w:after="120" w:afterLines="50" w:line="360" w:lineRule="auto"/>
              <w:jc w:val="center"/>
              <w:rPr>
                <w:rFonts w:hAnsi="宋体" w:cs="宋体"/>
                <w:b/>
                <w:bCs/>
                <w:sz w:val="24"/>
              </w:rPr>
            </w:pPr>
            <w:r>
              <w:rPr>
                <w:rFonts w:hint="eastAsia" w:hAnsi="宋体" w:cs="宋体"/>
                <w:bCs/>
                <w:sz w:val="24"/>
              </w:rPr>
              <w:t>（身份证复印件需清晰可辨认）</w:t>
            </w:r>
          </w:p>
        </w:tc>
        <w:tc>
          <w:tcPr>
            <w:tcW w:w="4322" w:type="dxa"/>
            <w:noWrap w:val="0"/>
            <w:vAlign w:val="center"/>
          </w:tcPr>
          <w:p>
            <w:pPr>
              <w:spacing w:before="240" w:beforeLines="100" w:after="120" w:afterLines="50" w:line="360" w:lineRule="auto"/>
              <w:jc w:val="center"/>
              <w:rPr>
                <w:rFonts w:hAnsi="宋体" w:cs="宋体"/>
                <w:b/>
                <w:bCs/>
                <w:sz w:val="24"/>
              </w:rPr>
            </w:pPr>
            <w:r>
              <w:rPr>
                <w:rFonts w:hint="eastAsia" w:hAnsi="宋体" w:cs="宋体"/>
                <w:bCs/>
                <w:sz w:val="24"/>
              </w:rPr>
              <w:t>法定代表人身份证复印件</w:t>
            </w:r>
          </w:p>
          <w:p>
            <w:pPr>
              <w:spacing w:before="240" w:beforeLines="100" w:after="120" w:afterLines="50" w:line="360" w:lineRule="auto"/>
              <w:jc w:val="center"/>
              <w:rPr>
                <w:rFonts w:hAnsi="宋体" w:cs="宋体"/>
                <w:b/>
                <w:bCs/>
                <w:sz w:val="24"/>
              </w:rPr>
            </w:pPr>
            <w:r>
              <w:rPr>
                <w:rFonts w:hint="eastAsia" w:hAnsi="宋体" w:cs="宋体"/>
                <w:bCs/>
                <w:sz w:val="24"/>
              </w:rPr>
              <w:t>反面</w:t>
            </w:r>
          </w:p>
          <w:p>
            <w:pPr>
              <w:spacing w:before="240" w:beforeLines="100" w:after="120" w:afterLines="50" w:line="360" w:lineRule="auto"/>
              <w:jc w:val="center"/>
              <w:rPr>
                <w:rFonts w:hAnsi="宋体" w:cs="宋体"/>
                <w:b/>
                <w:bCs/>
                <w:sz w:val="24"/>
              </w:rPr>
            </w:pPr>
            <w:r>
              <w:rPr>
                <w:rFonts w:hint="eastAsia" w:hAnsi="宋体" w:cs="宋体"/>
                <w:bCs/>
                <w:sz w:val="24"/>
              </w:rPr>
              <w:t>（身份证复印件需清晰可辨认）被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9" w:type="dxa"/>
            <w:noWrap w:val="0"/>
            <w:vAlign w:val="center"/>
          </w:tcPr>
          <w:p>
            <w:pPr>
              <w:spacing w:before="240" w:beforeLines="100" w:after="120" w:afterLines="50" w:line="360" w:lineRule="auto"/>
              <w:jc w:val="center"/>
              <w:rPr>
                <w:rFonts w:hAnsi="宋体" w:cs="宋体"/>
                <w:b/>
                <w:bCs/>
                <w:sz w:val="24"/>
              </w:rPr>
            </w:pPr>
            <w:r>
              <w:rPr>
                <w:rFonts w:hint="eastAsia" w:hAnsi="宋体" w:cs="宋体"/>
                <w:bCs/>
                <w:sz w:val="24"/>
              </w:rPr>
              <w:t>授权人身份证复印件</w:t>
            </w:r>
          </w:p>
          <w:p>
            <w:pPr>
              <w:spacing w:before="240" w:beforeLines="100" w:after="120" w:afterLines="50" w:line="360" w:lineRule="auto"/>
              <w:jc w:val="center"/>
              <w:rPr>
                <w:rFonts w:hAnsi="宋体" w:cs="宋体"/>
                <w:b/>
                <w:bCs/>
                <w:sz w:val="24"/>
              </w:rPr>
            </w:pPr>
            <w:r>
              <w:rPr>
                <w:rFonts w:hint="eastAsia" w:hAnsi="宋体" w:cs="宋体"/>
                <w:bCs/>
                <w:sz w:val="24"/>
              </w:rPr>
              <w:t>正面</w:t>
            </w:r>
          </w:p>
          <w:p>
            <w:pPr>
              <w:spacing w:before="240" w:beforeLines="100" w:after="120" w:afterLines="50" w:line="360" w:lineRule="auto"/>
              <w:jc w:val="center"/>
              <w:rPr>
                <w:rFonts w:hAnsi="宋体" w:cs="宋体"/>
                <w:b/>
                <w:bCs/>
                <w:sz w:val="24"/>
              </w:rPr>
            </w:pPr>
            <w:r>
              <w:rPr>
                <w:rFonts w:hint="eastAsia" w:hAnsi="宋体" w:cs="宋体"/>
                <w:bCs/>
                <w:sz w:val="24"/>
              </w:rPr>
              <w:t>（身份证复印件需清晰可辨认）</w:t>
            </w:r>
          </w:p>
        </w:tc>
        <w:tc>
          <w:tcPr>
            <w:tcW w:w="4322" w:type="dxa"/>
            <w:noWrap w:val="0"/>
            <w:vAlign w:val="center"/>
          </w:tcPr>
          <w:p>
            <w:pPr>
              <w:spacing w:before="240" w:beforeLines="100" w:after="120" w:afterLines="50" w:line="360" w:lineRule="auto"/>
              <w:jc w:val="center"/>
              <w:rPr>
                <w:rFonts w:hAnsi="宋体" w:cs="宋体"/>
                <w:b/>
                <w:bCs/>
                <w:sz w:val="24"/>
              </w:rPr>
            </w:pPr>
            <w:r>
              <w:rPr>
                <w:rFonts w:hint="eastAsia" w:hAnsi="宋体" w:cs="宋体"/>
                <w:bCs/>
                <w:sz w:val="24"/>
              </w:rPr>
              <w:t>被授权人身份证复印件</w:t>
            </w:r>
          </w:p>
          <w:p>
            <w:pPr>
              <w:spacing w:before="240" w:beforeLines="100" w:after="120" w:afterLines="50" w:line="360" w:lineRule="auto"/>
              <w:jc w:val="center"/>
              <w:rPr>
                <w:rFonts w:hAnsi="宋体" w:cs="宋体"/>
                <w:b/>
                <w:bCs/>
                <w:sz w:val="24"/>
              </w:rPr>
            </w:pPr>
            <w:r>
              <w:rPr>
                <w:rFonts w:hint="eastAsia" w:hAnsi="宋体" w:cs="宋体"/>
                <w:bCs/>
                <w:sz w:val="24"/>
              </w:rPr>
              <w:t>反面</w:t>
            </w:r>
          </w:p>
          <w:p>
            <w:pPr>
              <w:spacing w:before="240" w:beforeLines="100" w:after="120" w:afterLines="50" w:line="360" w:lineRule="auto"/>
              <w:jc w:val="center"/>
              <w:rPr>
                <w:rFonts w:hAnsi="宋体" w:cs="宋体"/>
                <w:b/>
                <w:bCs/>
                <w:sz w:val="24"/>
              </w:rPr>
            </w:pPr>
            <w:r>
              <w:rPr>
                <w:rFonts w:hint="eastAsia" w:hAnsi="宋体" w:cs="宋体"/>
                <w:bCs/>
                <w:sz w:val="24"/>
              </w:rPr>
              <w:t>（身份证复印件需清晰可辨认）</w:t>
            </w:r>
          </w:p>
        </w:tc>
      </w:tr>
    </w:tbl>
    <w:p>
      <w:pPr>
        <w:spacing w:line="360" w:lineRule="auto"/>
        <w:ind w:firstLine="480" w:firstLineChars="200"/>
        <w:rPr>
          <w:rFonts w:hAnsi="宋体" w:cs="宋体"/>
          <w:b/>
          <w:bCs/>
          <w:sz w:val="24"/>
        </w:rPr>
      </w:pPr>
      <w:r>
        <w:rPr>
          <w:rFonts w:hint="eastAsia" w:hAnsi="宋体" w:cs="宋体"/>
          <w:bCs/>
          <w:sz w:val="24"/>
        </w:rPr>
        <w:t>注：身份证复印件需加盖公章；</w:t>
      </w:r>
    </w:p>
    <w:p>
      <w:pPr>
        <w:spacing w:line="360" w:lineRule="auto"/>
        <w:ind w:firstLine="1440" w:firstLineChars="600"/>
        <w:rPr>
          <w:rFonts w:hint="eastAsia" w:hAnsi="宋体" w:cs="宋体"/>
          <w:bCs/>
          <w:sz w:val="24"/>
        </w:rPr>
      </w:pPr>
    </w:p>
    <w:p>
      <w:pPr>
        <w:spacing w:line="360" w:lineRule="auto"/>
        <w:ind w:firstLine="1440" w:firstLineChars="600"/>
        <w:rPr>
          <w:rFonts w:hint="eastAsia" w:hAnsi="宋体" w:cs="宋体"/>
          <w:bCs/>
          <w:sz w:val="24"/>
        </w:rPr>
      </w:pPr>
    </w:p>
    <w:p>
      <w:pPr>
        <w:pStyle w:val="9"/>
        <w:spacing w:before="240" w:beforeLines="100" w:after="120" w:afterLines="50" w:line="240" w:lineRule="auto"/>
        <w:ind w:firstLine="491" w:firstLineChars="205"/>
        <w:rPr>
          <w:rFonts w:hint="eastAsia" w:ascii="Times New Roman" w:hAnsi="宋体" w:eastAsia="宋体" w:cs="宋体"/>
          <w:bCs/>
          <w:kern w:val="2"/>
          <w:sz w:val="24"/>
          <w:szCs w:val="24"/>
          <w:lang w:val="en-US" w:eastAsia="zh-CN" w:bidi="ar-SA"/>
        </w:rPr>
      </w:pPr>
      <w:r>
        <w:rPr>
          <w:rFonts w:hint="eastAsia" w:ascii="Times New Roman" w:hAnsi="宋体" w:eastAsia="宋体" w:cs="宋体"/>
          <w:bCs/>
          <w:kern w:val="2"/>
          <w:sz w:val="24"/>
          <w:szCs w:val="24"/>
          <w:lang w:val="en-US" w:eastAsia="zh-CN" w:bidi="ar-SA"/>
        </w:rPr>
        <w:t>法定代表人（签章）：                        被授权代表签字：</w:t>
      </w:r>
    </w:p>
    <w:p>
      <w:pPr>
        <w:pStyle w:val="9"/>
        <w:spacing w:before="240" w:beforeLines="100" w:after="120" w:afterLines="50" w:line="240" w:lineRule="auto"/>
        <w:ind w:firstLine="491" w:firstLineChars="205"/>
        <w:rPr>
          <w:rFonts w:hint="eastAsia" w:ascii="Times New Roman" w:hAnsi="宋体" w:eastAsia="宋体" w:cs="宋体"/>
          <w:bCs/>
          <w:kern w:val="2"/>
          <w:sz w:val="24"/>
          <w:szCs w:val="24"/>
          <w:lang w:val="en-US" w:eastAsia="zh-CN" w:bidi="ar-SA"/>
        </w:rPr>
      </w:pPr>
      <w:r>
        <w:rPr>
          <w:rFonts w:hint="eastAsia" w:ascii="Times New Roman" w:hAnsi="宋体" w:eastAsia="宋体" w:cs="宋体"/>
          <w:bCs/>
          <w:kern w:val="2"/>
          <w:sz w:val="24"/>
          <w:szCs w:val="24"/>
          <w:lang w:val="en-US" w:eastAsia="zh-CN" w:bidi="ar-SA"/>
        </w:rPr>
        <w:t xml:space="preserve">供应商（公章）： </w:t>
      </w:r>
    </w:p>
    <w:p>
      <w:pPr>
        <w:widowControl/>
        <w:spacing w:line="240" w:lineRule="auto"/>
        <w:ind w:firstLine="480"/>
        <w:jc w:val="right"/>
        <w:rPr>
          <w:rFonts w:hint="eastAsia" w:ascii="Times New Roman" w:hAnsi="宋体" w:eastAsia="宋体" w:cs="宋体"/>
          <w:bCs/>
          <w:kern w:val="2"/>
          <w:sz w:val="24"/>
          <w:szCs w:val="24"/>
          <w:lang w:val="en-US" w:eastAsia="zh-CN" w:bidi="ar-SA"/>
        </w:rPr>
      </w:pPr>
      <w:r>
        <w:rPr>
          <w:rFonts w:hint="eastAsia" w:ascii="Times New Roman" w:hAnsi="宋体" w:eastAsia="宋体" w:cs="宋体"/>
          <w:bCs/>
          <w:kern w:val="2"/>
          <w:sz w:val="24"/>
          <w:szCs w:val="24"/>
          <w:lang w:val="en-US" w:eastAsia="zh-CN" w:bidi="ar-SA"/>
        </w:rPr>
        <w:t>年   月   日</w:t>
      </w:r>
    </w:p>
    <w:p>
      <w:pPr>
        <w:pStyle w:val="2"/>
        <w:rPr>
          <w:rFonts w:hint="eastAsia" w:ascii="宋体" w:hAnsi="宋体"/>
          <w:b/>
          <w:sz w:val="24"/>
          <w:u w:val="thick"/>
        </w:rPr>
      </w:pPr>
    </w:p>
    <w:p>
      <w:pPr>
        <w:spacing w:line="530" w:lineRule="exact"/>
        <w:jc w:val="center"/>
        <w:textAlignment w:val="baseline"/>
        <w:rPr>
          <w:rFonts w:hint="eastAsia" w:ascii="宋体" w:hAnsi="宋体" w:eastAsia="宋体" w:cs="Times New Roman"/>
          <w:b/>
          <w:bCs w:val="0"/>
          <w:kern w:val="2"/>
          <w:sz w:val="32"/>
          <w:szCs w:val="32"/>
          <w:lang w:val="en-US" w:eastAsia="zh-CN" w:bidi="ar-SA"/>
        </w:rPr>
      </w:pPr>
      <w:r>
        <w:rPr>
          <w:rFonts w:hint="eastAsia" w:ascii="宋体" w:hAnsi="宋体" w:eastAsia="宋体" w:cs="Times New Roman"/>
          <w:b/>
          <w:bCs w:val="0"/>
          <w:kern w:val="2"/>
          <w:sz w:val="32"/>
          <w:szCs w:val="32"/>
          <w:lang w:val="en-US" w:eastAsia="zh-CN" w:bidi="ar-SA"/>
        </w:rPr>
        <w:t>疫情防控个人健康承诺书</w:t>
      </w:r>
    </w:p>
    <w:p>
      <w:pPr>
        <w:spacing w:line="530" w:lineRule="exact"/>
        <w:textAlignment w:val="baseline"/>
        <w:rPr>
          <w:rFonts w:ascii="Times New Roman" w:hAnsi="Times New Roman" w:eastAsia="仿宋_GB2312" w:cs="Times New Roman"/>
          <w:sz w:val="32"/>
          <w:szCs w:val="40"/>
        </w:rPr>
      </w:pPr>
      <w:r>
        <w:rPr>
          <w:rFonts w:ascii="Times New Roman" w:hAnsi="Times New Roman" w:cs="Times New Roman"/>
          <w:sz w:val="32"/>
          <w:szCs w:val="40"/>
        </w:rPr>
        <w:t> </w:t>
      </w:r>
    </w:p>
    <w:p>
      <w:pPr>
        <w:spacing w:line="53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为切实做好新冠肺炎疫情防控工作，保障人员的生命安全和身体健康，</w:t>
      </w:r>
      <w:r>
        <w:rPr>
          <w:rFonts w:hint="eastAsia" w:ascii="宋体" w:hAnsi="宋体" w:eastAsia="宋体" w:cs="宋体"/>
          <w:sz w:val="24"/>
          <w:szCs w:val="24"/>
          <w:lang w:val="en-US" w:eastAsia="zh-CN"/>
        </w:rPr>
        <w:t>本公司报名参加贵阳市观山湖食品产业园配套基础设施工程的招标代理服务单位竞争性磋商活动，派出的磋商代表</w:t>
      </w:r>
      <w:r>
        <w:rPr>
          <w:rFonts w:hint="eastAsia" w:ascii="宋体" w:hAnsi="宋体" w:eastAsia="宋体" w:cs="宋体"/>
          <w:sz w:val="24"/>
          <w:szCs w:val="24"/>
          <w:u w:val="single"/>
          <w:lang w:val="en-US" w:eastAsia="zh-CN"/>
        </w:rPr>
        <w:t xml:space="preserve">         （姓名、身份证号）</w:t>
      </w:r>
      <w:r>
        <w:rPr>
          <w:rFonts w:hint="eastAsia" w:ascii="宋体" w:hAnsi="宋体" w:eastAsia="宋体" w:cs="宋体"/>
          <w:sz w:val="24"/>
          <w:szCs w:val="24"/>
        </w:rPr>
        <w:t>遵守以下承诺：</w:t>
      </w:r>
    </w:p>
    <w:p>
      <w:pPr>
        <w:spacing w:line="53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1.近</w:t>
      </w:r>
      <w:r>
        <w:rPr>
          <w:rFonts w:hint="eastAsia" w:ascii="宋体" w:hAnsi="宋体" w:cs="宋体"/>
          <w:sz w:val="24"/>
          <w:szCs w:val="24"/>
          <w:lang w:val="en-US" w:eastAsia="zh-CN"/>
        </w:rPr>
        <w:t>7</w:t>
      </w:r>
      <w:r>
        <w:rPr>
          <w:rFonts w:hint="eastAsia" w:ascii="宋体" w:hAnsi="宋体" w:eastAsia="宋体" w:cs="宋体"/>
          <w:sz w:val="24"/>
          <w:szCs w:val="24"/>
        </w:rPr>
        <w:t>天</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代表</w:t>
      </w:r>
      <w:r>
        <w:rPr>
          <w:rFonts w:hint="eastAsia" w:ascii="宋体" w:hAnsi="宋体" w:eastAsia="宋体" w:cs="宋体"/>
          <w:sz w:val="24"/>
          <w:szCs w:val="24"/>
        </w:rPr>
        <w:t>没有出现体温37.3℃及以上、干咳、乏力、鼻塞、流涕、咽痛、腹泻等症状；</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代表</w:t>
      </w:r>
      <w:r>
        <w:rPr>
          <w:rFonts w:hint="eastAsia" w:ascii="宋体" w:hAnsi="宋体" w:eastAsia="宋体" w:cs="宋体"/>
          <w:sz w:val="24"/>
          <w:szCs w:val="24"/>
        </w:rPr>
        <w:t>身体健康、健康码为“绿码”。</w:t>
      </w:r>
    </w:p>
    <w:p>
      <w:pPr>
        <w:spacing w:line="53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2.近</w:t>
      </w:r>
      <w:r>
        <w:rPr>
          <w:rFonts w:hint="eastAsia" w:ascii="宋体" w:hAnsi="宋体" w:cs="宋体"/>
          <w:sz w:val="24"/>
          <w:szCs w:val="24"/>
          <w:lang w:val="en-US" w:eastAsia="zh-CN"/>
        </w:rPr>
        <w:t>7</w:t>
      </w:r>
      <w:r>
        <w:rPr>
          <w:rFonts w:hint="eastAsia" w:ascii="宋体" w:hAnsi="宋体" w:eastAsia="宋体" w:cs="宋体"/>
          <w:sz w:val="24"/>
          <w:szCs w:val="24"/>
        </w:rPr>
        <w:t>天</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代表</w:t>
      </w:r>
      <w:r>
        <w:rPr>
          <w:rFonts w:hint="eastAsia" w:ascii="宋体" w:hAnsi="宋体" w:eastAsia="宋体" w:cs="宋体"/>
          <w:sz w:val="24"/>
          <w:szCs w:val="24"/>
        </w:rPr>
        <w:t>无境外、国内中、高风险区的活动轨迹。</w:t>
      </w:r>
    </w:p>
    <w:p>
      <w:pPr>
        <w:spacing w:line="53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3.近</w:t>
      </w:r>
      <w:r>
        <w:rPr>
          <w:rFonts w:hint="eastAsia" w:ascii="宋体" w:hAnsi="宋体" w:cs="宋体"/>
          <w:sz w:val="24"/>
          <w:szCs w:val="24"/>
          <w:lang w:val="en-US" w:eastAsia="zh-CN"/>
        </w:rPr>
        <w:t>7</w:t>
      </w:r>
      <w:r>
        <w:rPr>
          <w:rFonts w:hint="eastAsia" w:ascii="宋体" w:hAnsi="宋体" w:eastAsia="宋体" w:cs="宋体"/>
          <w:sz w:val="24"/>
          <w:szCs w:val="24"/>
        </w:rPr>
        <w:t>天</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代表</w:t>
      </w:r>
      <w:r>
        <w:rPr>
          <w:rFonts w:hint="eastAsia" w:ascii="宋体" w:hAnsi="宋体" w:eastAsia="宋体" w:cs="宋体"/>
          <w:sz w:val="24"/>
          <w:szCs w:val="24"/>
        </w:rPr>
        <w:t>没有与从境外、国内中、高风险地区及政府最新发布出现新增病例地区（适时调整）的人员有密切接触。</w:t>
      </w:r>
    </w:p>
    <w:p>
      <w:pPr>
        <w:spacing w:line="53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4.近</w:t>
      </w:r>
      <w:r>
        <w:rPr>
          <w:rFonts w:hint="eastAsia" w:ascii="宋体" w:hAnsi="宋体" w:cs="宋体"/>
          <w:sz w:val="24"/>
          <w:szCs w:val="24"/>
          <w:lang w:val="en-US" w:eastAsia="zh-CN"/>
        </w:rPr>
        <w:t>7</w:t>
      </w:r>
      <w:r>
        <w:rPr>
          <w:rFonts w:hint="eastAsia" w:ascii="宋体" w:hAnsi="宋体" w:eastAsia="宋体" w:cs="宋体"/>
          <w:sz w:val="24"/>
          <w:szCs w:val="24"/>
        </w:rPr>
        <w:t>天</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代表</w:t>
      </w:r>
      <w:r>
        <w:rPr>
          <w:rFonts w:hint="eastAsia" w:ascii="宋体" w:hAnsi="宋体" w:eastAsia="宋体" w:cs="宋体"/>
          <w:sz w:val="24"/>
          <w:szCs w:val="24"/>
        </w:rPr>
        <w:t>没有与新冠肺炎确诊病例、疑似病例、无症状感染者有密切接触；与</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代表</w:t>
      </w:r>
      <w:r>
        <w:rPr>
          <w:rFonts w:hint="eastAsia" w:ascii="宋体" w:hAnsi="宋体" w:eastAsia="宋体" w:cs="宋体"/>
          <w:sz w:val="24"/>
          <w:szCs w:val="24"/>
        </w:rPr>
        <w:t>同居的人员也没有与新冠肺炎确诊病例、疑似病例、无症状感染者有密切接触。</w:t>
      </w:r>
    </w:p>
    <w:p>
      <w:pPr>
        <w:spacing w:line="53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代表</w:t>
      </w:r>
      <w:r>
        <w:rPr>
          <w:rFonts w:hint="eastAsia" w:ascii="宋体" w:hAnsi="宋体" w:eastAsia="宋体" w:cs="宋体"/>
          <w:sz w:val="24"/>
          <w:szCs w:val="24"/>
        </w:rPr>
        <w:t>严格遵守疫情防控各项防控管理的相关规定。</w:t>
      </w:r>
    </w:p>
    <w:p>
      <w:pPr>
        <w:spacing w:line="53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对于以上承诺，</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代表</w:t>
      </w:r>
      <w:r>
        <w:rPr>
          <w:rFonts w:hint="eastAsia" w:ascii="宋体" w:hAnsi="宋体" w:eastAsia="宋体" w:cs="宋体"/>
          <w:sz w:val="24"/>
          <w:szCs w:val="24"/>
        </w:rPr>
        <w:t>严格遵守，如出现虚报、瞒报、漏报的个人行为</w:t>
      </w:r>
      <w:r>
        <w:rPr>
          <w:rFonts w:hint="eastAsia" w:ascii="宋体" w:hAnsi="宋体" w:eastAsia="宋体" w:cs="宋体"/>
          <w:sz w:val="24"/>
          <w:szCs w:val="24"/>
          <w:lang w:eastAsia="zh-CN"/>
        </w:rPr>
        <w:t>，</w:t>
      </w:r>
      <w:r>
        <w:rPr>
          <w:rFonts w:hint="eastAsia" w:ascii="宋体" w:hAnsi="宋体" w:eastAsia="宋体" w:cs="宋体"/>
          <w:sz w:val="24"/>
          <w:szCs w:val="24"/>
        </w:rPr>
        <w:t>造成疫情后果的，将由本</w:t>
      </w:r>
      <w:r>
        <w:rPr>
          <w:rFonts w:hint="eastAsia" w:ascii="宋体" w:hAnsi="宋体" w:eastAsia="宋体" w:cs="宋体"/>
          <w:sz w:val="24"/>
          <w:szCs w:val="24"/>
          <w:lang w:val="en-US" w:eastAsia="zh-CN"/>
        </w:rPr>
        <w:t>公司</w:t>
      </w:r>
      <w:r>
        <w:rPr>
          <w:rFonts w:hint="eastAsia" w:ascii="宋体" w:hAnsi="宋体" w:eastAsia="宋体" w:cs="宋体"/>
          <w:sz w:val="24"/>
          <w:szCs w:val="24"/>
        </w:rPr>
        <w:t>承担相关法律责任。</w:t>
      </w:r>
    </w:p>
    <w:p>
      <w:pPr>
        <w:spacing w:line="53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w:t>
      </w:r>
    </w:p>
    <w:p>
      <w:p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sz w:val="24"/>
          <w:lang w:eastAsia="zh-CN"/>
        </w:rPr>
        <w:t>响应人</w:t>
      </w:r>
      <w:r>
        <w:rPr>
          <w:rFonts w:hint="eastAsia" w:ascii="宋体" w:hAnsi="宋体"/>
          <w:sz w:val="24"/>
        </w:rPr>
        <w:t>：</w:t>
      </w:r>
      <w:r>
        <w:rPr>
          <w:rFonts w:hint="eastAsia" w:ascii="宋体" w:hAnsi="宋体"/>
          <w:sz w:val="24"/>
          <w:u w:val="single"/>
        </w:rPr>
        <w:t>（全称、盖公章）</w:t>
      </w:r>
    </w:p>
    <w:p>
      <w:pPr>
        <w:spacing w:line="530" w:lineRule="exact"/>
        <w:ind w:firstLine="480" w:firstLineChars="200"/>
        <w:jc w:val="center"/>
        <w:textAlignment w:val="baseline"/>
        <w:rPr>
          <w:rFonts w:hint="default" w:ascii="宋体" w:hAnsi="宋体" w:eastAsia="宋体" w:cs="宋体"/>
          <w:sz w:val="24"/>
          <w:szCs w:val="24"/>
          <w:u w:val="single"/>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代表</w:t>
      </w:r>
      <w:r>
        <w:rPr>
          <w:rFonts w:hint="eastAsia" w:ascii="宋体" w:hAnsi="宋体" w:eastAsia="宋体" w:cs="宋体"/>
          <w:sz w:val="24"/>
          <w:szCs w:val="24"/>
        </w:rPr>
        <w:t>签字：</w:t>
      </w:r>
      <w:r>
        <w:rPr>
          <w:rFonts w:hint="eastAsia" w:ascii="宋体" w:hAnsi="宋体" w:eastAsia="宋体" w:cs="宋体"/>
          <w:sz w:val="24"/>
          <w:szCs w:val="24"/>
          <w:u w:val="single"/>
          <w:lang w:val="en-US" w:eastAsia="zh-CN"/>
        </w:rPr>
        <w:t xml:space="preserve">         </w:t>
      </w:r>
    </w:p>
    <w:p>
      <w:pPr>
        <w:spacing w:line="530" w:lineRule="exact"/>
        <w:ind w:firstLine="4800" w:firstLineChars="20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签署</w:t>
      </w:r>
      <w:r>
        <w:rPr>
          <w:rFonts w:hint="eastAsia" w:ascii="宋体" w:hAnsi="宋体" w:eastAsia="宋体" w:cs="宋体"/>
          <w:sz w:val="24"/>
          <w:szCs w:val="24"/>
        </w:rPr>
        <w:t>日期：2022年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textAlignment w:val="baseline"/>
        <w:rPr>
          <w:b/>
          <w:i/>
          <w:caps/>
        </w:rPr>
      </w:pPr>
    </w:p>
    <w:p>
      <w:pPr>
        <w:tabs>
          <w:tab w:val="left" w:pos="5040"/>
        </w:tabs>
        <w:adjustRightInd w:val="0"/>
        <w:snapToGrid w:val="0"/>
        <w:spacing w:line="360" w:lineRule="auto"/>
        <w:jc w:val="left"/>
        <w:rPr>
          <w:rFonts w:hint="eastAsia" w:ascii="宋体" w:hAnsi="宋体"/>
          <w:sz w:val="24"/>
        </w:rPr>
      </w:pPr>
    </w:p>
    <w:p>
      <w:pPr>
        <w:tabs>
          <w:tab w:val="left" w:pos="5040"/>
        </w:tabs>
        <w:adjustRightInd w:val="0"/>
        <w:snapToGrid w:val="0"/>
        <w:spacing w:line="360" w:lineRule="auto"/>
        <w:jc w:val="left"/>
        <w:rPr>
          <w:rFonts w:hint="eastAsia" w:ascii="宋体" w:hAnsi="宋体"/>
          <w:sz w:val="24"/>
        </w:rPr>
      </w:pPr>
    </w:p>
    <w:p>
      <w:pPr>
        <w:pStyle w:val="4"/>
        <w:numPr>
          <w:ilvl w:val="0"/>
          <w:numId w:val="0"/>
        </w:numPr>
        <w:jc w:val="both"/>
        <w:rPr>
          <w:rFonts w:hint="eastAsia" w:ascii="宋体" w:hAnsi="宋体" w:eastAsia="宋体" w:cs="Times New Roman"/>
          <w:b/>
          <w:bCs w:val="0"/>
          <w:kern w:val="2"/>
          <w:sz w:val="32"/>
          <w:szCs w:val="32"/>
          <w:lang w:val="en-US" w:eastAsia="zh-CN" w:bidi="ar-SA"/>
        </w:rPr>
      </w:pPr>
      <w:bookmarkStart w:id="103" w:name="_Toc204077252"/>
      <w:bookmarkStart w:id="104" w:name="_Toc4322"/>
      <w:bookmarkStart w:id="105" w:name="_Toc88034135"/>
      <w:bookmarkStart w:id="106" w:name="_Toc42143997"/>
      <w:bookmarkStart w:id="107" w:name="_Toc33779488"/>
      <w:bookmarkStart w:id="108" w:name="_Toc511623204"/>
      <w:bookmarkStart w:id="109" w:name="_Toc513171591"/>
      <w:bookmarkStart w:id="110" w:name="_Toc82577311"/>
      <w:bookmarkStart w:id="111" w:name="_Toc36351842"/>
      <w:bookmarkStart w:id="112" w:name="_Toc36356294"/>
      <w:bookmarkStart w:id="113" w:name="_Toc514062498"/>
      <w:r>
        <w:rPr>
          <w:rFonts w:hint="eastAsia" w:ascii="宋体" w:hAnsi="宋体" w:eastAsia="宋体" w:cs="Times New Roman"/>
          <w:b/>
          <w:bCs w:val="0"/>
          <w:kern w:val="2"/>
          <w:sz w:val="32"/>
          <w:szCs w:val="32"/>
          <w:lang w:val="en-US" w:eastAsia="zh-CN" w:bidi="ar-SA"/>
        </w:rPr>
        <w:t>三、资格证明材料</w:t>
      </w:r>
      <w:bookmarkEnd w:id="103"/>
      <w:bookmarkEnd w:id="104"/>
      <w:bookmarkEnd w:id="105"/>
      <w:bookmarkEnd w:id="106"/>
      <w:bookmarkEnd w:id="107"/>
      <w:bookmarkEnd w:id="108"/>
      <w:bookmarkEnd w:id="109"/>
      <w:bookmarkEnd w:id="110"/>
    </w:p>
    <w:p>
      <w:pPr>
        <w:pStyle w:val="6"/>
        <w:adjustRightInd w:val="0"/>
        <w:snapToGrid w:val="0"/>
        <w:spacing w:line="360" w:lineRule="auto"/>
        <w:rPr>
          <w:rFonts w:hint="eastAsia" w:ascii="宋体" w:hAnsi="宋体"/>
          <w:sz w:val="24"/>
        </w:rPr>
      </w:pPr>
    </w:p>
    <w:p>
      <w:pPr>
        <w:bidi w:val="0"/>
        <w:jc w:val="center"/>
        <w:rPr>
          <w:rFonts w:hint="eastAsia"/>
          <w:b/>
          <w:bCs/>
          <w:sz w:val="28"/>
          <w:szCs w:val="36"/>
        </w:rPr>
      </w:pPr>
      <w:bookmarkStart w:id="114" w:name="_Toc7461"/>
      <w:r>
        <w:rPr>
          <w:rFonts w:hint="eastAsia"/>
          <w:b/>
          <w:bCs/>
          <w:sz w:val="28"/>
          <w:szCs w:val="36"/>
          <w:lang w:val="en-US" w:eastAsia="zh-CN"/>
        </w:rPr>
        <w:t>供应商基本情况表</w:t>
      </w:r>
      <w:bookmarkEnd w:id="114"/>
    </w:p>
    <w:tbl>
      <w:tblPr>
        <w:tblStyle w:val="16"/>
        <w:tblW w:w="10300" w:type="dxa"/>
        <w:tblInd w:w="-5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2"/>
        <w:gridCol w:w="1666"/>
        <w:gridCol w:w="697"/>
        <w:gridCol w:w="762"/>
        <w:gridCol w:w="663"/>
        <w:gridCol w:w="1075"/>
        <w:gridCol w:w="637"/>
        <w:gridCol w:w="888"/>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206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bookmarkStart w:id="115" w:name="_Toc221952155"/>
            <w:r>
              <w:rPr>
                <w:rFonts w:hint="eastAsia" w:ascii="仿宋" w:hAnsi="仿宋" w:eastAsia="仿宋" w:cs="仿宋"/>
                <w:b/>
                <w:bCs/>
                <w:color w:val="auto"/>
                <w:sz w:val="28"/>
                <w:szCs w:val="28"/>
                <w:u w:val="none"/>
                <w:lang w:val="en-US" w:eastAsia="zh-CN"/>
              </w:rPr>
              <w:t>供应商单位</w:t>
            </w:r>
            <w:r>
              <w:rPr>
                <w:rFonts w:hint="eastAsia" w:ascii="仿宋" w:hAnsi="仿宋" w:eastAsia="仿宋" w:cs="仿宋"/>
                <w:b/>
                <w:bCs/>
                <w:color w:val="auto"/>
                <w:sz w:val="28"/>
                <w:szCs w:val="28"/>
                <w:u w:val="none"/>
              </w:rPr>
              <w:t>名称</w:t>
            </w:r>
            <w:bookmarkEnd w:id="115"/>
          </w:p>
        </w:tc>
        <w:tc>
          <w:tcPr>
            <w:tcW w:w="823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206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bookmarkStart w:id="116" w:name="_Toc221952156"/>
            <w:r>
              <w:rPr>
                <w:rFonts w:hint="eastAsia" w:ascii="仿宋" w:hAnsi="仿宋" w:eastAsia="仿宋" w:cs="仿宋"/>
                <w:b/>
                <w:bCs/>
                <w:color w:val="auto"/>
                <w:sz w:val="28"/>
                <w:szCs w:val="28"/>
                <w:u w:val="none"/>
              </w:rPr>
              <w:t>注册地址</w:t>
            </w:r>
            <w:bookmarkEnd w:id="116"/>
          </w:p>
        </w:tc>
        <w:tc>
          <w:tcPr>
            <w:tcW w:w="4863"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17" w:name="_Toc221952157"/>
            <w:r>
              <w:rPr>
                <w:rFonts w:hint="eastAsia" w:ascii="仿宋" w:hAnsi="仿宋" w:eastAsia="仿宋" w:cs="仿宋"/>
                <w:color w:val="auto"/>
                <w:sz w:val="28"/>
                <w:szCs w:val="28"/>
                <w:u w:val="none"/>
              </w:rPr>
              <w:t>邮政编码</w:t>
            </w:r>
            <w:bookmarkEnd w:id="117"/>
          </w:p>
        </w:tc>
        <w:tc>
          <w:tcPr>
            <w:tcW w:w="185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bookmarkStart w:id="118" w:name="_Toc221952158"/>
            <w:r>
              <w:rPr>
                <w:rFonts w:hint="eastAsia" w:ascii="仿宋" w:hAnsi="仿宋" w:eastAsia="仿宋" w:cs="仿宋"/>
                <w:b/>
                <w:bCs/>
                <w:color w:val="auto"/>
                <w:sz w:val="28"/>
                <w:szCs w:val="28"/>
                <w:u w:val="none"/>
              </w:rPr>
              <w:t>联系方式</w:t>
            </w:r>
            <w:bookmarkEnd w:id="118"/>
          </w:p>
        </w:tc>
        <w:tc>
          <w:tcPr>
            <w:tcW w:w="166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19" w:name="_Toc221952159"/>
            <w:r>
              <w:rPr>
                <w:rFonts w:hint="eastAsia" w:ascii="仿宋" w:hAnsi="仿宋" w:eastAsia="仿宋" w:cs="仿宋"/>
                <w:color w:val="auto"/>
                <w:sz w:val="28"/>
                <w:szCs w:val="28"/>
                <w:u w:val="none"/>
              </w:rPr>
              <w:t>联系人</w:t>
            </w:r>
            <w:bookmarkEnd w:id="119"/>
          </w:p>
        </w:tc>
        <w:tc>
          <w:tcPr>
            <w:tcW w:w="319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highlight w:val="none"/>
                <w:u w:val="none"/>
                <w:lang w:eastAsia="zh-CN"/>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highlight w:val="none"/>
                <w:u w:val="none"/>
              </w:rPr>
            </w:pPr>
            <w:bookmarkStart w:id="120" w:name="_Toc221952160"/>
            <w:r>
              <w:rPr>
                <w:rFonts w:hint="eastAsia" w:ascii="仿宋" w:hAnsi="仿宋" w:eastAsia="仿宋" w:cs="仿宋"/>
                <w:color w:val="auto"/>
                <w:sz w:val="28"/>
                <w:szCs w:val="28"/>
                <w:highlight w:val="none"/>
                <w:u w:val="none"/>
              </w:rPr>
              <w:t>电 话</w:t>
            </w:r>
            <w:bookmarkEnd w:id="120"/>
          </w:p>
        </w:tc>
        <w:tc>
          <w:tcPr>
            <w:tcW w:w="185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default" w:ascii="仿宋" w:hAnsi="仿宋" w:eastAsia="仿宋" w:cs="仿宋"/>
                <w:color w:val="auto"/>
                <w:sz w:val="28"/>
                <w:szCs w:val="28"/>
                <w:highlight w:val="none"/>
                <w:u w:val="none"/>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21" w:name="_Toc221952161"/>
            <w:r>
              <w:rPr>
                <w:rFonts w:hint="eastAsia" w:ascii="仿宋" w:hAnsi="仿宋" w:eastAsia="仿宋" w:cs="仿宋"/>
                <w:color w:val="auto"/>
                <w:sz w:val="28"/>
                <w:szCs w:val="28"/>
                <w:u w:val="none"/>
              </w:rPr>
              <w:t>传  真</w:t>
            </w:r>
            <w:bookmarkEnd w:id="121"/>
          </w:p>
        </w:tc>
        <w:tc>
          <w:tcPr>
            <w:tcW w:w="319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lang w:val="en-US" w:eastAsia="zh-CN"/>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22" w:name="_Toc221952162"/>
            <w:r>
              <w:rPr>
                <w:rFonts w:hint="eastAsia" w:ascii="仿宋" w:hAnsi="仿宋" w:eastAsia="仿宋" w:cs="仿宋"/>
                <w:color w:val="auto"/>
                <w:sz w:val="28"/>
                <w:szCs w:val="28"/>
                <w:u w:val="none"/>
              </w:rPr>
              <w:t>网 址</w:t>
            </w:r>
            <w:bookmarkEnd w:id="122"/>
          </w:p>
        </w:tc>
        <w:tc>
          <w:tcPr>
            <w:tcW w:w="185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06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bookmarkStart w:id="123" w:name="_Toc221952164"/>
            <w:r>
              <w:rPr>
                <w:rFonts w:hint="eastAsia" w:ascii="仿宋" w:hAnsi="仿宋" w:eastAsia="仿宋" w:cs="仿宋"/>
                <w:b/>
                <w:bCs/>
                <w:color w:val="auto"/>
                <w:sz w:val="28"/>
                <w:szCs w:val="28"/>
                <w:u w:val="none"/>
              </w:rPr>
              <w:t>法定代表人</w:t>
            </w:r>
            <w:bookmarkEnd w:id="123"/>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24" w:name="_Toc221952166"/>
            <w:r>
              <w:rPr>
                <w:rFonts w:hint="eastAsia" w:ascii="仿宋" w:hAnsi="仿宋" w:eastAsia="仿宋" w:cs="仿宋"/>
                <w:color w:val="auto"/>
                <w:sz w:val="28"/>
                <w:szCs w:val="28"/>
                <w:u w:val="none"/>
              </w:rPr>
              <w:t>技术职称</w:t>
            </w:r>
            <w:bookmarkEnd w:id="124"/>
          </w:p>
        </w:tc>
        <w:tc>
          <w:tcPr>
            <w:tcW w:w="17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8"/>
                <w:szCs w:val="28"/>
                <w:u w:val="none"/>
              </w:rPr>
            </w:pPr>
            <w:bookmarkStart w:id="125" w:name="_Toc221952167"/>
            <w:r>
              <w:rPr>
                <w:rFonts w:hint="eastAsia" w:ascii="仿宋" w:hAnsi="仿宋" w:eastAsia="仿宋" w:cs="仿宋"/>
                <w:color w:val="auto"/>
                <w:sz w:val="28"/>
                <w:szCs w:val="28"/>
                <w:u w:val="none"/>
              </w:rPr>
              <w:t>电话</w:t>
            </w:r>
            <w:bookmarkEnd w:id="125"/>
          </w:p>
        </w:tc>
        <w:tc>
          <w:tcPr>
            <w:tcW w:w="185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06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bookmarkStart w:id="126" w:name="_Toc221952168"/>
            <w:r>
              <w:rPr>
                <w:rFonts w:hint="eastAsia" w:ascii="仿宋" w:hAnsi="仿宋" w:eastAsia="仿宋" w:cs="仿宋"/>
                <w:b/>
                <w:bCs/>
                <w:color w:val="auto"/>
                <w:sz w:val="28"/>
                <w:szCs w:val="28"/>
                <w:u w:val="none"/>
                <w:lang w:val="en-US" w:eastAsia="zh-CN"/>
              </w:rPr>
              <w:t>项目</w:t>
            </w:r>
            <w:r>
              <w:rPr>
                <w:rFonts w:hint="eastAsia" w:ascii="仿宋" w:hAnsi="仿宋" w:eastAsia="仿宋" w:cs="仿宋"/>
                <w:b/>
                <w:bCs/>
                <w:color w:val="auto"/>
                <w:sz w:val="28"/>
                <w:szCs w:val="28"/>
                <w:u w:val="none"/>
              </w:rPr>
              <w:t>负责人</w:t>
            </w:r>
            <w:bookmarkEnd w:id="126"/>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27" w:name="_Toc221952170"/>
            <w:r>
              <w:rPr>
                <w:rFonts w:hint="eastAsia" w:ascii="仿宋" w:hAnsi="仿宋" w:eastAsia="仿宋" w:cs="仿宋"/>
                <w:color w:val="auto"/>
                <w:sz w:val="28"/>
                <w:szCs w:val="28"/>
                <w:u w:val="none"/>
              </w:rPr>
              <w:t>技术职称</w:t>
            </w:r>
            <w:bookmarkEnd w:id="127"/>
          </w:p>
        </w:tc>
        <w:tc>
          <w:tcPr>
            <w:tcW w:w="17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8"/>
                <w:szCs w:val="28"/>
                <w:u w:val="none"/>
              </w:rPr>
            </w:pPr>
            <w:bookmarkStart w:id="128" w:name="_Toc221952171"/>
            <w:r>
              <w:rPr>
                <w:rFonts w:hint="eastAsia" w:ascii="仿宋" w:hAnsi="仿宋" w:eastAsia="仿宋" w:cs="仿宋"/>
                <w:color w:val="auto"/>
                <w:sz w:val="28"/>
                <w:szCs w:val="28"/>
                <w:u w:val="none"/>
              </w:rPr>
              <w:t>电话</w:t>
            </w:r>
            <w:bookmarkEnd w:id="128"/>
          </w:p>
        </w:tc>
        <w:tc>
          <w:tcPr>
            <w:tcW w:w="185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6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bookmarkStart w:id="129" w:name="_Toc221952172"/>
            <w:r>
              <w:rPr>
                <w:rFonts w:hint="eastAsia" w:ascii="仿宋" w:hAnsi="仿宋" w:eastAsia="仿宋" w:cs="仿宋"/>
                <w:b/>
                <w:bCs/>
                <w:color w:val="auto"/>
                <w:sz w:val="28"/>
                <w:szCs w:val="28"/>
                <w:u w:val="none"/>
              </w:rPr>
              <w:t>成立时间</w:t>
            </w:r>
            <w:bookmarkEnd w:id="129"/>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5875"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ind w:firstLine="1400" w:firstLineChars="500"/>
              <w:rPr>
                <w:rFonts w:hint="eastAsia" w:ascii="仿宋" w:hAnsi="仿宋" w:eastAsia="仿宋" w:cs="仿宋"/>
                <w:color w:val="auto"/>
                <w:sz w:val="28"/>
                <w:szCs w:val="28"/>
                <w:u w:val="none"/>
              </w:rPr>
            </w:pPr>
            <w:bookmarkStart w:id="130" w:name="_Toc221952173"/>
            <w:r>
              <w:rPr>
                <w:rFonts w:hint="eastAsia" w:ascii="仿宋" w:hAnsi="仿宋" w:eastAsia="仿宋" w:cs="仿宋"/>
                <w:color w:val="auto"/>
                <w:sz w:val="28"/>
                <w:szCs w:val="28"/>
                <w:u w:val="none"/>
              </w:rPr>
              <w:t>员工总人数</w:t>
            </w:r>
            <w:bookmarkEnd w:id="13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7" w:hRule="atLeast"/>
        </w:trPr>
        <w:tc>
          <w:tcPr>
            <w:tcW w:w="206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企业资质等级</w:t>
            </w:r>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lang w:eastAsia="zh-CN"/>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31" w:name="_Toc221952175"/>
            <w:r>
              <w:rPr>
                <w:rFonts w:hint="eastAsia" w:ascii="仿宋" w:hAnsi="仿宋" w:eastAsia="仿宋" w:cs="仿宋"/>
                <w:color w:val="auto"/>
                <w:sz w:val="28"/>
                <w:szCs w:val="28"/>
                <w:u w:val="none"/>
              </w:rPr>
              <w:t>其中</w:t>
            </w:r>
            <w:bookmarkEnd w:id="131"/>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32" w:name="_Toc221952178"/>
            <w:r>
              <w:rPr>
                <w:rFonts w:hint="eastAsia" w:ascii="仿宋" w:hAnsi="仿宋" w:eastAsia="仿宋" w:cs="仿宋"/>
                <w:color w:val="auto"/>
                <w:sz w:val="28"/>
                <w:szCs w:val="28"/>
                <w:u w:val="none"/>
              </w:rPr>
              <w:t>高级职称人员</w:t>
            </w:r>
            <w:bookmarkEnd w:id="132"/>
          </w:p>
        </w:tc>
        <w:tc>
          <w:tcPr>
            <w:tcW w:w="2738"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ight="0" w:rightChars="0"/>
              <w:jc w:val="center"/>
              <w:rPr>
                <w:rFonts w:hint="eastAsia" w:ascii="仿宋" w:hAnsi="仿宋" w:eastAsia="仿宋" w:cs="仿宋"/>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trPr>
        <w:tc>
          <w:tcPr>
            <w:tcW w:w="206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bookmarkStart w:id="133" w:name="_Toc221952177"/>
            <w:r>
              <w:rPr>
                <w:rFonts w:hint="eastAsia" w:ascii="仿宋" w:hAnsi="仿宋" w:eastAsia="仿宋" w:cs="仿宋"/>
                <w:b/>
                <w:bCs/>
                <w:color w:val="auto"/>
                <w:sz w:val="28"/>
                <w:szCs w:val="28"/>
                <w:u w:val="none"/>
              </w:rPr>
              <w:t>营业执照号</w:t>
            </w:r>
            <w:bookmarkEnd w:id="133"/>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34" w:name="_Toc221952180"/>
            <w:r>
              <w:rPr>
                <w:rFonts w:hint="eastAsia" w:ascii="仿宋" w:hAnsi="仿宋" w:eastAsia="仿宋" w:cs="仿宋"/>
                <w:color w:val="auto"/>
                <w:sz w:val="28"/>
                <w:szCs w:val="28"/>
                <w:u w:val="none"/>
              </w:rPr>
              <w:t>中级职称人员</w:t>
            </w:r>
            <w:bookmarkEnd w:id="134"/>
          </w:p>
        </w:tc>
        <w:tc>
          <w:tcPr>
            <w:tcW w:w="2738"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ight="0" w:rightChars="0"/>
              <w:jc w:val="center"/>
              <w:rPr>
                <w:rFonts w:hint="eastAsia" w:ascii="仿宋" w:hAnsi="仿宋" w:eastAsia="仿宋" w:cs="仿宋"/>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206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b/>
                <w:bCs/>
                <w:color w:val="auto"/>
                <w:sz w:val="28"/>
                <w:szCs w:val="28"/>
                <w:u w:val="none"/>
              </w:rPr>
            </w:pPr>
            <w:bookmarkStart w:id="135" w:name="_Toc221952179"/>
            <w:r>
              <w:rPr>
                <w:rFonts w:hint="eastAsia" w:ascii="仿宋" w:hAnsi="仿宋" w:eastAsia="仿宋" w:cs="仿宋"/>
                <w:b/>
                <w:bCs/>
                <w:color w:val="auto"/>
                <w:sz w:val="28"/>
                <w:szCs w:val="28"/>
                <w:u w:val="none"/>
              </w:rPr>
              <w:t>注册资金</w:t>
            </w:r>
            <w:bookmarkEnd w:id="135"/>
          </w:p>
        </w:tc>
        <w:tc>
          <w:tcPr>
            <w:tcW w:w="236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exact"/>
              <w:jc w:val="center"/>
              <w:rPr>
                <w:rFonts w:hint="eastAsia" w:ascii="仿宋" w:hAnsi="仿宋" w:eastAsia="仿宋" w:cs="仿宋"/>
                <w:color w:val="auto"/>
                <w:sz w:val="28"/>
                <w:szCs w:val="28"/>
                <w:u w:val="none"/>
              </w:rPr>
            </w:pPr>
            <w:bookmarkStart w:id="136" w:name="_Toc221952182"/>
            <w:r>
              <w:rPr>
                <w:rFonts w:hint="eastAsia" w:ascii="仿宋" w:hAnsi="仿宋" w:eastAsia="仿宋" w:cs="仿宋"/>
                <w:color w:val="auto"/>
                <w:sz w:val="28"/>
                <w:szCs w:val="28"/>
                <w:u w:val="none"/>
              </w:rPr>
              <w:t>初级职称人员</w:t>
            </w:r>
            <w:bookmarkEnd w:id="136"/>
          </w:p>
        </w:tc>
        <w:tc>
          <w:tcPr>
            <w:tcW w:w="2738"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ind w:left="0" w:leftChars="0" w:right="0" w:rightChars="0"/>
              <w:jc w:val="center"/>
              <w:rPr>
                <w:rFonts w:hint="eastAsia" w:ascii="仿宋" w:hAnsi="仿宋" w:eastAsia="仿宋" w:cs="仿宋"/>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062" w:type="dxa"/>
            <w:tcBorders>
              <w:top w:val="single" w:color="auto" w:sz="4" w:space="0"/>
              <w:left w:val="single" w:color="auto" w:sz="4" w:space="0"/>
              <w:right w:val="single" w:color="auto" w:sz="4" w:space="0"/>
            </w:tcBorders>
            <w:noWrap w:val="0"/>
            <w:vAlign w:val="center"/>
          </w:tcPr>
          <w:p>
            <w:pPr>
              <w:topLinePunct/>
              <w:spacing w:line="440" w:lineRule="exact"/>
              <w:ind w:firstLine="281" w:firstLineChars="100"/>
              <w:jc w:val="center"/>
              <w:rPr>
                <w:rFonts w:hint="eastAsia" w:ascii="仿宋" w:hAnsi="仿宋" w:eastAsia="仿宋" w:cs="仿宋"/>
                <w:b/>
                <w:bCs/>
                <w:color w:val="auto"/>
                <w:sz w:val="28"/>
                <w:szCs w:val="28"/>
                <w:u w:val="none"/>
              </w:rPr>
            </w:pPr>
            <w:bookmarkStart w:id="137" w:name="_Toc221952185"/>
            <w:r>
              <w:rPr>
                <w:rFonts w:hint="eastAsia" w:ascii="仿宋" w:hAnsi="仿宋" w:eastAsia="仿宋" w:cs="仿宋"/>
                <w:b/>
                <w:bCs/>
                <w:color w:val="auto"/>
                <w:sz w:val="28"/>
                <w:szCs w:val="28"/>
                <w:u w:val="none"/>
              </w:rPr>
              <w:t>经营范围</w:t>
            </w:r>
            <w:bookmarkEnd w:id="137"/>
          </w:p>
        </w:tc>
        <w:tc>
          <w:tcPr>
            <w:tcW w:w="8238" w:type="dxa"/>
            <w:gridSpan w:val="8"/>
            <w:tcBorders>
              <w:top w:val="single" w:color="auto" w:sz="4" w:space="0"/>
              <w:left w:val="single" w:color="auto" w:sz="4" w:space="0"/>
              <w:right w:val="single" w:color="auto" w:sz="4" w:space="0"/>
            </w:tcBorders>
            <w:noWrap w:val="0"/>
            <w:vAlign w:val="center"/>
          </w:tcPr>
          <w:p>
            <w:pPr>
              <w:topLinePunct/>
              <w:spacing w:line="440" w:lineRule="exact"/>
              <w:rPr>
                <w:rFonts w:hint="eastAsia" w:ascii="仿宋" w:hAnsi="仿宋" w:eastAsia="仿宋" w:cs="仿宋"/>
                <w:color w:val="auto"/>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06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b/>
                <w:bCs/>
                <w:color w:val="auto"/>
                <w:sz w:val="28"/>
                <w:szCs w:val="28"/>
                <w:u w:val="none"/>
              </w:rPr>
            </w:pPr>
            <w:bookmarkStart w:id="138" w:name="_Toc221952186"/>
            <w:r>
              <w:rPr>
                <w:rFonts w:hint="eastAsia" w:ascii="仿宋" w:hAnsi="仿宋" w:eastAsia="仿宋" w:cs="仿宋"/>
                <w:b/>
                <w:bCs/>
                <w:color w:val="auto"/>
                <w:sz w:val="28"/>
                <w:szCs w:val="28"/>
                <w:u w:val="none"/>
              </w:rPr>
              <w:t>备注</w:t>
            </w:r>
            <w:bookmarkEnd w:id="138"/>
          </w:p>
        </w:tc>
        <w:tc>
          <w:tcPr>
            <w:tcW w:w="823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仿宋" w:hAnsi="仿宋" w:eastAsia="仿宋" w:cs="仿宋"/>
                <w:color w:val="auto"/>
                <w:sz w:val="28"/>
                <w:szCs w:val="28"/>
                <w:u w:val="none"/>
              </w:rPr>
            </w:pPr>
          </w:p>
          <w:p>
            <w:pPr>
              <w:topLinePunct/>
              <w:spacing w:line="440" w:lineRule="exact"/>
              <w:jc w:val="center"/>
              <w:rPr>
                <w:rFonts w:hint="eastAsia" w:ascii="仿宋" w:hAnsi="仿宋" w:eastAsia="仿宋" w:cs="仿宋"/>
                <w:color w:val="auto"/>
                <w:sz w:val="28"/>
                <w:szCs w:val="28"/>
                <w:u w:val="none"/>
              </w:rPr>
            </w:pPr>
          </w:p>
        </w:tc>
      </w:tr>
    </w:tbl>
    <w:p>
      <w:pPr>
        <w:spacing w:line="360" w:lineRule="auto"/>
        <w:rPr>
          <w:rFonts w:hint="eastAsia" w:ascii="宋体" w:hAnsi="宋体" w:cs="宋体-18030"/>
          <w:szCs w:val="21"/>
        </w:rPr>
      </w:pPr>
      <w:r>
        <w:rPr>
          <w:rFonts w:hint="eastAsia" w:ascii="宋体" w:hAnsi="宋体" w:cs="宋体-18030"/>
          <w:szCs w:val="21"/>
        </w:rPr>
        <w:t>注：在本</w:t>
      </w:r>
      <w:r>
        <w:rPr>
          <w:rFonts w:hint="eastAsia" w:ascii="宋体" w:hAnsi="宋体" w:cs="宋体-18030"/>
          <w:szCs w:val="21"/>
          <w:lang w:val="en-US" w:eastAsia="zh-CN"/>
        </w:rPr>
        <w:t>表</w:t>
      </w:r>
      <w:r>
        <w:rPr>
          <w:rFonts w:hint="eastAsia" w:ascii="宋体" w:hAnsi="宋体" w:cs="宋体-18030"/>
          <w:szCs w:val="21"/>
        </w:rPr>
        <w:t>后应附</w:t>
      </w:r>
      <w:r>
        <w:rPr>
          <w:rFonts w:hint="eastAsia" w:ascii="宋体" w:hAnsi="宋体" w:cs="宋体-18030"/>
          <w:szCs w:val="21"/>
          <w:lang w:eastAsia="zh-CN"/>
        </w:rPr>
        <w:t>竞争性磋商</w:t>
      </w:r>
      <w:r>
        <w:rPr>
          <w:rFonts w:hint="eastAsia" w:ascii="宋体" w:hAnsi="宋体" w:cs="宋体-18030"/>
          <w:szCs w:val="21"/>
        </w:rPr>
        <w:t>须知资料表</w:t>
      </w:r>
      <w:r>
        <w:rPr>
          <w:rFonts w:hint="eastAsia" w:ascii="宋体" w:hAnsi="宋体" w:cs="宋体-18030"/>
          <w:szCs w:val="21"/>
          <w:lang w:val="en-US" w:eastAsia="zh-CN"/>
        </w:rPr>
        <w:t>第3条要求的所有资料</w:t>
      </w:r>
      <w:r>
        <w:rPr>
          <w:rFonts w:hint="eastAsia" w:ascii="宋体" w:hAnsi="宋体" w:cs="宋体-18030"/>
          <w:szCs w:val="21"/>
        </w:rPr>
        <w:t>。</w:t>
      </w:r>
    </w:p>
    <w:p>
      <w:pPr>
        <w:pStyle w:val="6"/>
        <w:adjustRightInd w:val="0"/>
        <w:snapToGrid w:val="0"/>
        <w:spacing w:line="360" w:lineRule="auto"/>
        <w:ind w:left="0" w:leftChars="0" w:firstLine="0" w:firstLineChars="0"/>
        <w:rPr>
          <w:rFonts w:hint="eastAsia" w:ascii="宋体" w:hAnsi="宋体"/>
          <w:b/>
          <w:bCs/>
          <w:sz w:val="24"/>
        </w:rPr>
      </w:pPr>
    </w:p>
    <w:p>
      <w:pPr>
        <w:pStyle w:val="6"/>
        <w:adjustRightInd w:val="0"/>
        <w:snapToGrid w:val="0"/>
        <w:spacing w:line="360" w:lineRule="auto"/>
        <w:ind w:left="0" w:leftChars="0" w:firstLine="0" w:firstLineChars="0"/>
        <w:rPr>
          <w:rFonts w:hint="eastAsia" w:ascii="宋体" w:hAnsi="宋体"/>
          <w:b/>
          <w:bCs/>
          <w:sz w:val="24"/>
        </w:rPr>
      </w:pPr>
    </w:p>
    <w:p>
      <w:pPr>
        <w:pStyle w:val="6"/>
        <w:adjustRightInd w:val="0"/>
        <w:snapToGrid w:val="0"/>
        <w:spacing w:line="360" w:lineRule="auto"/>
        <w:ind w:left="0" w:leftChars="0" w:firstLine="0" w:firstLineChars="0"/>
        <w:rPr>
          <w:rFonts w:hint="eastAsia" w:ascii="宋体" w:hAnsi="宋体"/>
          <w:b/>
          <w:bCs/>
          <w:sz w:val="24"/>
        </w:rPr>
      </w:pPr>
    </w:p>
    <w:p>
      <w:pPr>
        <w:pStyle w:val="6"/>
        <w:adjustRightInd w:val="0"/>
        <w:snapToGrid w:val="0"/>
        <w:spacing w:line="360" w:lineRule="auto"/>
        <w:ind w:left="0" w:leftChars="0" w:firstLine="0" w:firstLineChars="0"/>
        <w:rPr>
          <w:rFonts w:hint="eastAsia" w:ascii="宋体" w:hAnsi="宋体"/>
          <w:b/>
          <w:bCs/>
          <w:sz w:val="24"/>
        </w:rPr>
      </w:pPr>
    </w:p>
    <w:p>
      <w:pPr>
        <w:pStyle w:val="6"/>
        <w:adjustRightInd w:val="0"/>
        <w:snapToGrid w:val="0"/>
        <w:spacing w:line="360" w:lineRule="auto"/>
        <w:ind w:left="0" w:leftChars="0" w:firstLine="0" w:firstLineChars="0"/>
        <w:rPr>
          <w:rFonts w:hint="eastAsia" w:ascii="宋体" w:hAnsi="宋体"/>
          <w:b/>
          <w:bCs/>
          <w:sz w:val="24"/>
        </w:rPr>
      </w:pPr>
    </w:p>
    <w:p>
      <w:pPr>
        <w:rPr>
          <w:rFonts w:hint="eastAsia" w:ascii="宋体" w:hAnsi="宋体" w:eastAsia="宋体" w:cs="Times New Roman"/>
          <w:b/>
          <w:bCs w:val="0"/>
          <w:kern w:val="2"/>
          <w:sz w:val="32"/>
          <w:szCs w:val="32"/>
          <w:lang w:val="en-US" w:eastAsia="zh-CN" w:bidi="ar-SA"/>
        </w:rPr>
      </w:pPr>
      <w:r>
        <w:rPr>
          <w:rFonts w:hint="eastAsia" w:ascii="宋体" w:hAnsi="宋体" w:eastAsia="宋体" w:cs="Times New Roman"/>
          <w:b/>
          <w:bCs w:val="0"/>
          <w:kern w:val="2"/>
          <w:sz w:val="32"/>
          <w:szCs w:val="32"/>
          <w:lang w:val="en-US" w:eastAsia="zh-CN" w:bidi="ar-SA"/>
        </w:rPr>
        <w:br w:type="page"/>
      </w:r>
    </w:p>
    <w:p>
      <w:pPr>
        <w:pStyle w:val="4"/>
        <w:numPr>
          <w:ilvl w:val="0"/>
          <w:numId w:val="0"/>
        </w:numPr>
        <w:jc w:val="center"/>
        <w:rPr>
          <w:rFonts w:hint="eastAsia" w:ascii="宋体" w:hAnsi="宋体" w:eastAsia="宋体" w:cs="Times New Roman"/>
          <w:b/>
          <w:bCs w:val="0"/>
          <w:kern w:val="2"/>
          <w:sz w:val="32"/>
          <w:szCs w:val="32"/>
          <w:lang w:val="en-US" w:eastAsia="zh-CN" w:bidi="ar-SA"/>
        </w:rPr>
      </w:pPr>
      <w:r>
        <w:rPr>
          <w:rFonts w:hint="eastAsia" w:ascii="宋体" w:hAnsi="宋体" w:eastAsia="宋体" w:cs="Times New Roman"/>
          <w:b/>
          <w:bCs w:val="0"/>
          <w:kern w:val="2"/>
          <w:sz w:val="32"/>
          <w:szCs w:val="32"/>
          <w:lang w:val="en-US" w:eastAsia="zh-CN" w:bidi="ar-SA"/>
        </w:rPr>
        <w:t>四、其他材料</w:t>
      </w:r>
    </w:p>
    <w:p>
      <w:pPr>
        <w:pStyle w:val="6"/>
        <w:adjustRightInd w:val="0"/>
        <w:snapToGrid w:val="0"/>
        <w:spacing w:line="360" w:lineRule="auto"/>
        <w:ind w:left="0" w:leftChars="0" w:firstLine="0" w:firstLineChars="0"/>
        <w:jc w:val="both"/>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1、拟派人员情况</w:t>
      </w:r>
    </w:p>
    <w:p>
      <w:pPr>
        <w:pStyle w:val="9"/>
        <w:spacing w:line="240" w:lineRule="auto"/>
        <w:ind w:firstLine="1966" w:firstLineChars="544"/>
        <w:jc w:val="both"/>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拟派人员</w:t>
      </w:r>
      <w:r>
        <w:rPr>
          <w:rFonts w:hint="eastAsia" w:asciiTheme="minorEastAsia" w:hAnsiTheme="minorEastAsia" w:eastAsiaTheme="minorEastAsia" w:cstheme="minorEastAsia"/>
          <w:b/>
          <w:sz w:val="36"/>
          <w:szCs w:val="36"/>
        </w:rPr>
        <w:t>专业技术能力情况表</w:t>
      </w:r>
    </w:p>
    <w:tbl>
      <w:tblPr>
        <w:tblStyle w:val="16"/>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93"/>
        <w:gridCol w:w="992"/>
        <w:gridCol w:w="851"/>
        <w:gridCol w:w="850"/>
        <w:gridCol w:w="864"/>
        <w:gridCol w:w="924"/>
        <w:gridCol w:w="828"/>
        <w:gridCol w:w="1127"/>
        <w:gridCol w:w="696"/>
        <w:gridCol w:w="78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restart"/>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类别</w:t>
            </w:r>
          </w:p>
        </w:tc>
        <w:tc>
          <w:tcPr>
            <w:tcW w:w="993" w:type="dxa"/>
            <w:vMerge w:val="restart"/>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992" w:type="dxa"/>
            <w:vMerge w:val="restart"/>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职务</w:t>
            </w:r>
          </w:p>
        </w:tc>
        <w:tc>
          <w:tcPr>
            <w:tcW w:w="851" w:type="dxa"/>
            <w:vMerge w:val="restart"/>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职称</w:t>
            </w:r>
          </w:p>
        </w:tc>
        <w:tc>
          <w:tcPr>
            <w:tcW w:w="850" w:type="dxa"/>
            <w:vMerge w:val="restart"/>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专职/兼职</w:t>
            </w:r>
          </w:p>
        </w:tc>
        <w:tc>
          <w:tcPr>
            <w:tcW w:w="864" w:type="dxa"/>
            <w:vMerge w:val="restart"/>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岗位职责</w:t>
            </w:r>
          </w:p>
        </w:tc>
        <w:tc>
          <w:tcPr>
            <w:tcW w:w="924" w:type="dxa"/>
            <w:vMerge w:val="restart"/>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从业时间</w:t>
            </w:r>
          </w:p>
        </w:tc>
        <w:tc>
          <w:tcPr>
            <w:tcW w:w="828" w:type="dxa"/>
            <w:vMerge w:val="restart"/>
            <w:vAlign w:val="center"/>
          </w:tcPr>
          <w:p>
            <w:pPr>
              <w:spacing w:line="240" w:lineRule="auto"/>
              <w:ind w:firstLine="0" w:firstLineChars="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项目经验</w:t>
            </w:r>
            <w:r>
              <w:rPr>
                <w:rFonts w:hint="eastAsia" w:asciiTheme="minorEastAsia" w:hAnsiTheme="minorEastAsia" w:eastAsiaTheme="minorEastAsia" w:cstheme="minorEastAsia"/>
                <w:lang w:val="en-US" w:eastAsia="zh-CN"/>
              </w:rPr>
              <w:t>年限</w:t>
            </w:r>
          </w:p>
        </w:tc>
        <w:tc>
          <w:tcPr>
            <w:tcW w:w="3374" w:type="dxa"/>
            <w:gridSpan w:val="4"/>
            <w:vAlign w:val="center"/>
          </w:tcPr>
          <w:p>
            <w:pPr>
              <w:spacing w:line="240" w:lineRule="auto"/>
              <w:ind w:firstLine="688" w:firstLineChars="328"/>
              <w:jc w:val="both"/>
              <w:rPr>
                <w:rFonts w:asciiTheme="minorEastAsia" w:hAnsiTheme="minorEastAsia" w:eastAsiaTheme="minorEastAsia" w:cstheme="minorEastAsia"/>
              </w:rPr>
            </w:pPr>
            <w:r>
              <w:rPr>
                <w:rFonts w:hint="eastAsia" w:asciiTheme="minorEastAsia" w:hAnsiTheme="minorEastAsia" w:eastAsiaTheme="minorEastAsia" w:cstheme="minorEastAsia"/>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continue"/>
            <w:vAlign w:val="center"/>
          </w:tcPr>
          <w:p>
            <w:pPr>
              <w:spacing w:line="240" w:lineRule="auto"/>
              <w:ind w:firstLine="480"/>
              <w:rPr>
                <w:rFonts w:asciiTheme="minorEastAsia" w:hAnsiTheme="minorEastAsia" w:eastAsiaTheme="minorEastAsia" w:cstheme="minorEastAsia"/>
              </w:rPr>
            </w:pPr>
          </w:p>
        </w:tc>
        <w:tc>
          <w:tcPr>
            <w:tcW w:w="993" w:type="dxa"/>
            <w:vMerge w:val="continue"/>
            <w:vAlign w:val="center"/>
          </w:tcPr>
          <w:p>
            <w:pPr>
              <w:spacing w:line="240" w:lineRule="auto"/>
              <w:ind w:firstLine="480"/>
              <w:rPr>
                <w:rFonts w:asciiTheme="minorEastAsia" w:hAnsiTheme="minorEastAsia" w:eastAsiaTheme="minorEastAsia" w:cstheme="minorEastAsia"/>
              </w:rPr>
            </w:pPr>
          </w:p>
        </w:tc>
        <w:tc>
          <w:tcPr>
            <w:tcW w:w="992" w:type="dxa"/>
            <w:vMerge w:val="continue"/>
            <w:vAlign w:val="center"/>
          </w:tcPr>
          <w:p>
            <w:pPr>
              <w:spacing w:line="240" w:lineRule="auto"/>
              <w:ind w:firstLine="480"/>
              <w:rPr>
                <w:rFonts w:asciiTheme="minorEastAsia" w:hAnsiTheme="minorEastAsia" w:eastAsiaTheme="minorEastAsia" w:cstheme="minorEastAsia"/>
              </w:rPr>
            </w:pPr>
          </w:p>
        </w:tc>
        <w:tc>
          <w:tcPr>
            <w:tcW w:w="851" w:type="dxa"/>
            <w:vMerge w:val="continue"/>
            <w:vAlign w:val="center"/>
          </w:tcPr>
          <w:p>
            <w:pPr>
              <w:spacing w:line="240" w:lineRule="auto"/>
              <w:ind w:firstLine="480"/>
              <w:rPr>
                <w:rFonts w:asciiTheme="minorEastAsia" w:hAnsiTheme="minorEastAsia" w:eastAsiaTheme="minorEastAsia" w:cstheme="minorEastAsia"/>
              </w:rPr>
            </w:pPr>
          </w:p>
        </w:tc>
        <w:tc>
          <w:tcPr>
            <w:tcW w:w="850" w:type="dxa"/>
            <w:vMerge w:val="continue"/>
          </w:tcPr>
          <w:p>
            <w:pPr>
              <w:spacing w:line="240" w:lineRule="auto"/>
              <w:ind w:firstLine="480"/>
              <w:rPr>
                <w:rFonts w:asciiTheme="minorEastAsia" w:hAnsiTheme="minorEastAsia" w:eastAsiaTheme="minorEastAsia" w:cstheme="minorEastAsia"/>
              </w:rPr>
            </w:pPr>
          </w:p>
        </w:tc>
        <w:tc>
          <w:tcPr>
            <w:tcW w:w="864" w:type="dxa"/>
            <w:vMerge w:val="continue"/>
            <w:vAlign w:val="center"/>
          </w:tcPr>
          <w:p>
            <w:pPr>
              <w:spacing w:line="240" w:lineRule="auto"/>
              <w:ind w:firstLine="480"/>
              <w:rPr>
                <w:rFonts w:asciiTheme="minorEastAsia" w:hAnsiTheme="minorEastAsia" w:eastAsiaTheme="minorEastAsia" w:cstheme="minorEastAsia"/>
              </w:rPr>
            </w:pPr>
          </w:p>
        </w:tc>
        <w:tc>
          <w:tcPr>
            <w:tcW w:w="924" w:type="dxa"/>
            <w:vMerge w:val="continue"/>
            <w:vAlign w:val="center"/>
          </w:tcPr>
          <w:p>
            <w:pPr>
              <w:spacing w:line="240" w:lineRule="auto"/>
              <w:ind w:firstLine="480"/>
              <w:rPr>
                <w:rFonts w:asciiTheme="minorEastAsia" w:hAnsiTheme="minorEastAsia" w:eastAsiaTheme="minorEastAsia" w:cstheme="minorEastAsia"/>
              </w:rPr>
            </w:pPr>
          </w:p>
        </w:tc>
        <w:tc>
          <w:tcPr>
            <w:tcW w:w="828" w:type="dxa"/>
            <w:vMerge w:val="continue"/>
            <w:vAlign w:val="center"/>
          </w:tcPr>
          <w:p>
            <w:pPr>
              <w:spacing w:line="240" w:lineRule="auto"/>
              <w:ind w:firstLine="480"/>
              <w:rPr>
                <w:rFonts w:asciiTheme="minorEastAsia" w:hAnsiTheme="minorEastAsia" w:eastAsiaTheme="minorEastAsia" w:cstheme="minorEastAsia"/>
              </w:rPr>
            </w:pPr>
          </w:p>
        </w:tc>
        <w:tc>
          <w:tcPr>
            <w:tcW w:w="1127" w:type="dxa"/>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证书名称</w:t>
            </w:r>
          </w:p>
        </w:tc>
        <w:tc>
          <w:tcPr>
            <w:tcW w:w="696" w:type="dxa"/>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级别</w:t>
            </w:r>
          </w:p>
        </w:tc>
        <w:tc>
          <w:tcPr>
            <w:tcW w:w="782" w:type="dxa"/>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证号</w:t>
            </w:r>
          </w:p>
        </w:tc>
        <w:tc>
          <w:tcPr>
            <w:tcW w:w="769" w:type="dxa"/>
            <w:vAlign w:val="center"/>
          </w:tcPr>
          <w:p>
            <w:pPr>
              <w:spacing w:line="240" w:lineRule="auto"/>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restart"/>
            <w:vAlign w:val="center"/>
          </w:tcPr>
          <w:p>
            <w:pPr>
              <w:spacing w:beforeLines="50" w:afterLines="50" w:line="240" w:lineRule="auto"/>
              <w:rPr>
                <w:rFonts w:asciiTheme="minorEastAsia" w:hAnsiTheme="minorEastAsia" w:eastAsiaTheme="minorEastAsia" w:cstheme="minorEastAsia"/>
              </w:rPr>
            </w:pPr>
            <w:r>
              <w:rPr>
                <w:rFonts w:hint="eastAsia" w:asciiTheme="minorEastAsia" w:hAnsiTheme="minorEastAsia" w:eastAsiaTheme="minorEastAsia" w:cstheme="minorEastAsia"/>
              </w:rPr>
              <w:t>管理人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员</w:t>
            </w:r>
          </w:p>
        </w:tc>
        <w:tc>
          <w:tcPr>
            <w:tcW w:w="993" w:type="dxa"/>
            <w:vAlign w:val="center"/>
          </w:tcPr>
          <w:p>
            <w:pPr>
              <w:spacing w:line="240" w:lineRule="auto"/>
              <w:ind w:firstLine="480"/>
              <w:rPr>
                <w:rFonts w:asciiTheme="minorEastAsia" w:hAnsiTheme="minorEastAsia" w:eastAsiaTheme="minorEastAsia" w:cstheme="minorEastAsia"/>
              </w:rPr>
            </w:pPr>
          </w:p>
        </w:tc>
        <w:tc>
          <w:tcPr>
            <w:tcW w:w="992" w:type="dxa"/>
            <w:vAlign w:val="center"/>
          </w:tcPr>
          <w:p>
            <w:pPr>
              <w:spacing w:line="240" w:lineRule="auto"/>
              <w:ind w:firstLine="480"/>
              <w:rPr>
                <w:rFonts w:asciiTheme="minorEastAsia" w:hAnsiTheme="minorEastAsia" w:eastAsiaTheme="minorEastAsia" w:cstheme="minorEastAsia"/>
              </w:rPr>
            </w:pPr>
          </w:p>
        </w:tc>
        <w:tc>
          <w:tcPr>
            <w:tcW w:w="851" w:type="dxa"/>
            <w:vAlign w:val="center"/>
          </w:tcPr>
          <w:p>
            <w:pPr>
              <w:spacing w:line="240" w:lineRule="auto"/>
              <w:ind w:firstLine="480"/>
              <w:rPr>
                <w:rFonts w:asciiTheme="minorEastAsia" w:hAnsiTheme="minorEastAsia" w:eastAsiaTheme="minorEastAsia" w:cstheme="minorEastAsia"/>
              </w:rPr>
            </w:pPr>
          </w:p>
        </w:tc>
        <w:tc>
          <w:tcPr>
            <w:tcW w:w="850" w:type="dxa"/>
          </w:tcPr>
          <w:p>
            <w:pPr>
              <w:spacing w:line="240" w:lineRule="auto"/>
              <w:ind w:firstLine="480"/>
              <w:rPr>
                <w:rFonts w:asciiTheme="minorEastAsia" w:hAnsiTheme="minorEastAsia" w:eastAsiaTheme="minorEastAsia" w:cstheme="minorEastAsia"/>
              </w:rPr>
            </w:pPr>
          </w:p>
        </w:tc>
        <w:tc>
          <w:tcPr>
            <w:tcW w:w="864" w:type="dxa"/>
            <w:vAlign w:val="center"/>
          </w:tcPr>
          <w:p>
            <w:pPr>
              <w:spacing w:line="240" w:lineRule="auto"/>
              <w:ind w:firstLine="480"/>
              <w:rPr>
                <w:rFonts w:asciiTheme="minorEastAsia" w:hAnsiTheme="minorEastAsia" w:eastAsiaTheme="minorEastAsia" w:cstheme="minorEastAsia"/>
              </w:rPr>
            </w:pPr>
          </w:p>
        </w:tc>
        <w:tc>
          <w:tcPr>
            <w:tcW w:w="924" w:type="dxa"/>
            <w:vAlign w:val="center"/>
          </w:tcPr>
          <w:p>
            <w:pPr>
              <w:spacing w:line="240" w:lineRule="auto"/>
              <w:ind w:firstLine="480"/>
              <w:rPr>
                <w:rFonts w:asciiTheme="minorEastAsia" w:hAnsiTheme="minorEastAsia" w:eastAsiaTheme="minorEastAsia" w:cstheme="minorEastAsia"/>
              </w:rPr>
            </w:pPr>
          </w:p>
        </w:tc>
        <w:tc>
          <w:tcPr>
            <w:tcW w:w="828" w:type="dxa"/>
            <w:vAlign w:val="center"/>
          </w:tcPr>
          <w:p>
            <w:pPr>
              <w:spacing w:line="240" w:lineRule="auto"/>
              <w:ind w:firstLine="480"/>
              <w:rPr>
                <w:rFonts w:asciiTheme="minorEastAsia" w:hAnsiTheme="minorEastAsia" w:eastAsiaTheme="minorEastAsia" w:cstheme="minorEastAsia"/>
              </w:rPr>
            </w:pPr>
          </w:p>
        </w:tc>
        <w:tc>
          <w:tcPr>
            <w:tcW w:w="1127" w:type="dxa"/>
            <w:vAlign w:val="center"/>
          </w:tcPr>
          <w:p>
            <w:pPr>
              <w:spacing w:line="240" w:lineRule="auto"/>
              <w:ind w:firstLine="480"/>
              <w:rPr>
                <w:rFonts w:asciiTheme="minorEastAsia" w:hAnsiTheme="minorEastAsia" w:eastAsiaTheme="minorEastAsia" w:cstheme="minorEastAsia"/>
              </w:rPr>
            </w:pPr>
          </w:p>
        </w:tc>
        <w:tc>
          <w:tcPr>
            <w:tcW w:w="696" w:type="dxa"/>
            <w:vAlign w:val="center"/>
          </w:tcPr>
          <w:p>
            <w:pPr>
              <w:spacing w:line="240" w:lineRule="auto"/>
              <w:ind w:firstLine="480"/>
              <w:rPr>
                <w:rFonts w:asciiTheme="minorEastAsia" w:hAnsiTheme="minorEastAsia" w:eastAsiaTheme="minorEastAsia" w:cstheme="minorEastAsia"/>
              </w:rPr>
            </w:pPr>
          </w:p>
        </w:tc>
        <w:tc>
          <w:tcPr>
            <w:tcW w:w="782" w:type="dxa"/>
            <w:vAlign w:val="center"/>
          </w:tcPr>
          <w:p>
            <w:pPr>
              <w:spacing w:line="240" w:lineRule="auto"/>
              <w:ind w:firstLine="480"/>
              <w:rPr>
                <w:rFonts w:asciiTheme="minorEastAsia" w:hAnsiTheme="minorEastAsia" w:eastAsiaTheme="minorEastAsia" w:cstheme="minorEastAsia"/>
              </w:rPr>
            </w:pPr>
          </w:p>
        </w:tc>
        <w:tc>
          <w:tcPr>
            <w:tcW w:w="769" w:type="dxa"/>
            <w:vAlign w:val="center"/>
          </w:tcPr>
          <w:p>
            <w:pPr>
              <w:spacing w:line="240" w:lineRule="auto"/>
              <w:ind w:firstLine="48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continue"/>
            <w:vAlign w:val="center"/>
          </w:tcPr>
          <w:p>
            <w:pPr>
              <w:spacing w:beforeLines="50" w:afterLines="50" w:line="240" w:lineRule="auto"/>
              <w:ind w:firstLine="480"/>
              <w:rPr>
                <w:rFonts w:asciiTheme="minorEastAsia" w:hAnsiTheme="minorEastAsia" w:eastAsiaTheme="minorEastAsia" w:cstheme="minorEastAsia"/>
                <w:bCs/>
              </w:rPr>
            </w:pPr>
          </w:p>
        </w:tc>
        <w:tc>
          <w:tcPr>
            <w:tcW w:w="993" w:type="dxa"/>
            <w:vAlign w:val="center"/>
          </w:tcPr>
          <w:p>
            <w:pPr>
              <w:spacing w:line="240" w:lineRule="auto"/>
              <w:ind w:firstLine="480"/>
              <w:rPr>
                <w:rFonts w:asciiTheme="minorEastAsia" w:hAnsiTheme="minorEastAsia" w:eastAsiaTheme="minorEastAsia" w:cstheme="minorEastAsia"/>
              </w:rPr>
            </w:pPr>
          </w:p>
        </w:tc>
        <w:tc>
          <w:tcPr>
            <w:tcW w:w="992" w:type="dxa"/>
            <w:vAlign w:val="center"/>
          </w:tcPr>
          <w:p>
            <w:pPr>
              <w:spacing w:line="240" w:lineRule="auto"/>
              <w:ind w:firstLine="480"/>
              <w:rPr>
                <w:rFonts w:asciiTheme="minorEastAsia" w:hAnsiTheme="minorEastAsia" w:eastAsiaTheme="minorEastAsia" w:cstheme="minorEastAsia"/>
              </w:rPr>
            </w:pPr>
          </w:p>
        </w:tc>
        <w:tc>
          <w:tcPr>
            <w:tcW w:w="851" w:type="dxa"/>
            <w:vAlign w:val="center"/>
          </w:tcPr>
          <w:p>
            <w:pPr>
              <w:spacing w:line="240" w:lineRule="auto"/>
              <w:ind w:firstLine="480"/>
              <w:rPr>
                <w:rFonts w:asciiTheme="minorEastAsia" w:hAnsiTheme="minorEastAsia" w:eastAsiaTheme="minorEastAsia" w:cstheme="minorEastAsia"/>
              </w:rPr>
            </w:pPr>
          </w:p>
        </w:tc>
        <w:tc>
          <w:tcPr>
            <w:tcW w:w="850" w:type="dxa"/>
          </w:tcPr>
          <w:p>
            <w:pPr>
              <w:spacing w:line="240" w:lineRule="auto"/>
              <w:ind w:firstLine="480"/>
              <w:rPr>
                <w:rFonts w:asciiTheme="minorEastAsia" w:hAnsiTheme="minorEastAsia" w:eastAsiaTheme="minorEastAsia" w:cstheme="minorEastAsia"/>
              </w:rPr>
            </w:pPr>
          </w:p>
        </w:tc>
        <w:tc>
          <w:tcPr>
            <w:tcW w:w="864" w:type="dxa"/>
            <w:vAlign w:val="center"/>
          </w:tcPr>
          <w:p>
            <w:pPr>
              <w:spacing w:line="240" w:lineRule="auto"/>
              <w:ind w:firstLine="480"/>
              <w:rPr>
                <w:rFonts w:asciiTheme="minorEastAsia" w:hAnsiTheme="minorEastAsia" w:eastAsiaTheme="minorEastAsia" w:cstheme="minorEastAsia"/>
              </w:rPr>
            </w:pPr>
          </w:p>
        </w:tc>
        <w:tc>
          <w:tcPr>
            <w:tcW w:w="924" w:type="dxa"/>
            <w:vAlign w:val="center"/>
          </w:tcPr>
          <w:p>
            <w:pPr>
              <w:spacing w:line="240" w:lineRule="auto"/>
              <w:ind w:firstLine="480"/>
              <w:rPr>
                <w:rFonts w:asciiTheme="minorEastAsia" w:hAnsiTheme="minorEastAsia" w:eastAsiaTheme="minorEastAsia" w:cstheme="minorEastAsia"/>
              </w:rPr>
            </w:pPr>
          </w:p>
        </w:tc>
        <w:tc>
          <w:tcPr>
            <w:tcW w:w="828" w:type="dxa"/>
            <w:vAlign w:val="center"/>
          </w:tcPr>
          <w:p>
            <w:pPr>
              <w:spacing w:line="240" w:lineRule="auto"/>
              <w:ind w:firstLine="480"/>
              <w:rPr>
                <w:rFonts w:asciiTheme="minorEastAsia" w:hAnsiTheme="minorEastAsia" w:eastAsiaTheme="minorEastAsia" w:cstheme="minorEastAsia"/>
              </w:rPr>
            </w:pPr>
          </w:p>
        </w:tc>
        <w:tc>
          <w:tcPr>
            <w:tcW w:w="1127" w:type="dxa"/>
            <w:vAlign w:val="center"/>
          </w:tcPr>
          <w:p>
            <w:pPr>
              <w:spacing w:line="240" w:lineRule="auto"/>
              <w:ind w:firstLine="480"/>
              <w:rPr>
                <w:rFonts w:asciiTheme="minorEastAsia" w:hAnsiTheme="minorEastAsia" w:eastAsiaTheme="minorEastAsia" w:cstheme="minorEastAsia"/>
              </w:rPr>
            </w:pPr>
          </w:p>
        </w:tc>
        <w:tc>
          <w:tcPr>
            <w:tcW w:w="696" w:type="dxa"/>
            <w:vAlign w:val="center"/>
          </w:tcPr>
          <w:p>
            <w:pPr>
              <w:spacing w:line="240" w:lineRule="auto"/>
              <w:ind w:firstLine="480"/>
              <w:rPr>
                <w:rFonts w:asciiTheme="minorEastAsia" w:hAnsiTheme="minorEastAsia" w:eastAsiaTheme="minorEastAsia" w:cstheme="minorEastAsia"/>
              </w:rPr>
            </w:pPr>
          </w:p>
        </w:tc>
        <w:tc>
          <w:tcPr>
            <w:tcW w:w="782" w:type="dxa"/>
            <w:vAlign w:val="center"/>
          </w:tcPr>
          <w:p>
            <w:pPr>
              <w:spacing w:line="240" w:lineRule="auto"/>
              <w:ind w:firstLine="480"/>
              <w:rPr>
                <w:rFonts w:asciiTheme="minorEastAsia" w:hAnsiTheme="minorEastAsia" w:eastAsiaTheme="minorEastAsia" w:cstheme="minorEastAsia"/>
              </w:rPr>
            </w:pPr>
          </w:p>
        </w:tc>
        <w:tc>
          <w:tcPr>
            <w:tcW w:w="769" w:type="dxa"/>
            <w:vAlign w:val="center"/>
          </w:tcPr>
          <w:p>
            <w:pPr>
              <w:spacing w:line="240" w:lineRule="auto"/>
              <w:ind w:firstLine="48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continue"/>
            <w:vAlign w:val="center"/>
          </w:tcPr>
          <w:p>
            <w:pPr>
              <w:spacing w:beforeLines="50" w:afterLines="50" w:line="240" w:lineRule="auto"/>
              <w:ind w:firstLine="480"/>
              <w:rPr>
                <w:rFonts w:asciiTheme="minorEastAsia" w:hAnsiTheme="minorEastAsia" w:eastAsiaTheme="minorEastAsia" w:cstheme="minorEastAsia"/>
                <w:bCs/>
              </w:rPr>
            </w:pPr>
          </w:p>
        </w:tc>
        <w:tc>
          <w:tcPr>
            <w:tcW w:w="993" w:type="dxa"/>
            <w:vAlign w:val="center"/>
          </w:tcPr>
          <w:p>
            <w:pPr>
              <w:spacing w:line="240" w:lineRule="auto"/>
              <w:ind w:firstLine="480"/>
              <w:rPr>
                <w:rFonts w:asciiTheme="minorEastAsia" w:hAnsiTheme="minorEastAsia" w:eastAsiaTheme="minorEastAsia" w:cstheme="minorEastAsia"/>
              </w:rPr>
            </w:pPr>
          </w:p>
        </w:tc>
        <w:tc>
          <w:tcPr>
            <w:tcW w:w="992" w:type="dxa"/>
            <w:vAlign w:val="center"/>
          </w:tcPr>
          <w:p>
            <w:pPr>
              <w:spacing w:line="240" w:lineRule="auto"/>
              <w:ind w:firstLine="480"/>
              <w:rPr>
                <w:rFonts w:asciiTheme="minorEastAsia" w:hAnsiTheme="minorEastAsia" w:eastAsiaTheme="minorEastAsia" w:cstheme="minorEastAsia"/>
              </w:rPr>
            </w:pPr>
          </w:p>
        </w:tc>
        <w:tc>
          <w:tcPr>
            <w:tcW w:w="851" w:type="dxa"/>
            <w:vAlign w:val="center"/>
          </w:tcPr>
          <w:p>
            <w:pPr>
              <w:spacing w:line="240" w:lineRule="auto"/>
              <w:ind w:firstLine="480"/>
              <w:rPr>
                <w:rFonts w:asciiTheme="minorEastAsia" w:hAnsiTheme="minorEastAsia" w:eastAsiaTheme="minorEastAsia" w:cstheme="minorEastAsia"/>
              </w:rPr>
            </w:pPr>
          </w:p>
        </w:tc>
        <w:tc>
          <w:tcPr>
            <w:tcW w:w="850" w:type="dxa"/>
          </w:tcPr>
          <w:p>
            <w:pPr>
              <w:spacing w:line="240" w:lineRule="auto"/>
              <w:ind w:firstLine="480"/>
              <w:rPr>
                <w:rFonts w:asciiTheme="minorEastAsia" w:hAnsiTheme="minorEastAsia" w:eastAsiaTheme="minorEastAsia" w:cstheme="minorEastAsia"/>
              </w:rPr>
            </w:pPr>
          </w:p>
        </w:tc>
        <w:tc>
          <w:tcPr>
            <w:tcW w:w="864" w:type="dxa"/>
            <w:vAlign w:val="center"/>
          </w:tcPr>
          <w:p>
            <w:pPr>
              <w:spacing w:line="240" w:lineRule="auto"/>
              <w:ind w:firstLine="480"/>
              <w:rPr>
                <w:rFonts w:asciiTheme="minorEastAsia" w:hAnsiTheme="minorEastAsia" w:eastAsiaTheme="minorEastAsia" w:cstheme="minorEastAsia"/>
              </w:rPr>
            </w:pPr>
          </w:p>
        </w:tc>
        <w:tc>
          <w:tcPr>
            <w:tcW w:w="924" w:type="dxa"/>
            <w:vAlign w:val="center"/>
          </w:tcPr>
          <w:p>
            <w:pPr>
              <w:spacing w:line="240" w:lineRule="auto"/>
              <w:ind w:firstLine="480"/>
              <w:rPr>
                <w:rFonts w:asciiTheme="minorEastAsia" w:hAnsiTheme="minorEastAsia" w:eastAsiaTheme="minorEastAsia" w:cstheme="minorEastAsia"/>
              </w:rPr>
            </w:pPr>
          </w:p>
        </w:tc>
        <w:tc>
          <w:tcPr>
            <w:tcW w:w="828" w:type="dxa"/>
            <w:vAlign w:val="center"/>
          </w:tcPr>
          <w:p>
            <w:pPr>
              <w:spacing w:line="240" w:lineRule="auto"/>
              <w:ind w:firstLine="480"/>
              <w:rPr>
                <w:rFonts w:asciiTheme="minorEastAsia" w:hAnsiTheme="minorEastAsia" w:eastAsiaTheme="minorEastAsia" w:cstheme="minorEastAsia"/>
              </w:rPr>
            </w:pPr>
          </w:p>
        </w:tc>
        <w:tc>
          <w:tcPr>
            <w:tcW w:w="1127" w:type="dxa"/>
            <w:vAlign w:val="center"/>
          </w:tcPr>
          <w:p>
            <w:pPr>
              <w:spacing w:line="240" w:lineRule="auto"/>
              <w:ind w:firstLine="480"/>
              <w:rPr>
                <w:rFonts w:asciiTheme="minorEastAsia" w:hAnsiTheme="minorEastAsia" w:eastAsiaTheme="minorEastAsia" w:cstheme="minorEastAsia"/>
              </w:rPr>
            </w:pPr>
          </w:p>
        </w:tc>
        <w:tc>
          <w:tcPr>
            <w:tcW w:w="696" w:type="dxa"/>
            <w:vAlign w:val="center"/>
          </w:tcPr>
          <w:p>
            <w:pPr>
              <w:spacing w:line="240" w:lineRule="auto"/>
              <w:ind w:firstLine="480"/>
              <w:rPr>
                <w:rFonts w:asciiTheme="minorEastAsia" w:hAnsiTheme="minorEastAsia" w:eastAsiaTheme="minorEastAsia" w:cstheme="minorEastAsia"/>
              </w:rPr>
            </w:pPr>
          </w:p>
        </w:tc>
        <w:tc>
          <w:tcPr>
            <w:tcW w:w="782" w:type="dxa"/>
            <w:vAlign w:val="center"/>
          </w:tcPr>
          <w:p>
            <w:pPr>
              <w:spacing w:line="240" w:lineRule="auto"/>
              <w:ind w:firstLine="480"/>
              <w:rPr>
                <w:rFonts w:asciiTheme="minorEastAsia" w:hAnsiTheme="minorEastAsia" w:eastAsiaTheme="minorEastAsia" w:cstheme="minorEastAsia"/>
              </w:rPr>
            </w:pPr>
          </w:p>
        </w:tc>
        <w:tc>
          <w:tcPr>
            <w:tcW w:w="769" w:type="dxa"/>
            <w:vAlign w:val="center"/>
          </w:tcPr>
          <w:p>
            <w:pPr>
              <w:spacing w:line="240" w:lineRule="auto"/>
              <w:ind w:firstLine="48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restart"/>
            <w:vAlign w:val="center"/>
          </w:tcPr>
          <w:p>
            <w:pPr>
              <w:spacing w:beforeLines="50" w:afterLines="50" w:line="240" w:lineRule="auto"/>
              <w:rPr>
                <w:rFonts w:asciiTheme="minorEastAsia" w:hAnsiTheme="minorEastAsia" w:eastAsiaTheme="minorEastAsia" w:cstheme="minorEastAsia"/>
              </w:rPr>
            </w:pPr>
            <w:r>
              <w:rPr>
                <w:rFonts w:hint="eastAsia" w:asciiTheme="minorEastAsia" w:hAnsiTheme="minorEastAsia" w:eastAsiaTheme="minorEastAsia" w:cstheme="minorEastAsia"/>
              </w:rPr>
              <w:t>技术人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员</w:t>
            </w:r>
          </w:p>
        </w:tc>
        <w:tc>
          <w:tcPr>
            <w:tcW w:w="993" w:type="dxa"/>
            <w:vAlign w:val="center"/>
          </w:tcPr>
          <w:p>
            <w:pPr>
              <w:spacing w:line="240" w:lineRule="auto"/>
              <w:ind w:firstLine="480"/>
              <w:rPr>
                <w:rFonts w:asciiTheme="minorEastAsia" w:hAnsiTheme="minorEastAsia" w:eastAsiaTheme="minorEastAsia" w:cstheme="minorEastAsia"/>
              </w:rPr>
            </w:pPr>
          </w:p>
        </w:tc>
        <w:tc>
          <w:tcPr>
            <w:tcW w:w="992" w:type="dxa"/>
            <w:vAlign w:val="center"/>
          </w:tcPr>
          <w:p>
            <w:pPr>
              <w:spacing w:line="240" w:lineRule="auto"/>
              <w:ind w:firstLine="480"/>
              <w:rPr>
                <w:rFonts w:asciiTheme="minorEastAsia" w:hAnsiTheme="minorEastAsia" w:eastAsiaTheme="minorEastAsia" w:cstheme="minorEastAsia"/>
              </w:rPr>
            </w:pPr>
          </w:p>
        </w:tc>
        <w:tc>
          <w:tcPr>
            <w:tcW w:w="851" w:type="dxa"/>
            <w:vAlign w:val="center"/>
          </w:tcPr>
          <w:p>
            <w:pPr>
              <w:spacing w:line="240" w:lineRule="auto"/>
              <w:ind w:firstLine="480"/>
              <w:rPr>
                <w:rFonts w:asciiTheme="minorEastAsia" w:hAnsiTheme="minorEastAsia" w:eastAsiaTheme="minorEastAsia" w:cstheme="minorEastAsia"/>
              </w:rPr>
            </w:pPr>
          </w:p>
        </w:tc>
        <w:tc>
          <w:tcPr>
            <w:tcW w:w="850" w:type="dxa"/>
          </w:tcPr>
          <w:p>
            <w:pPr>
              <w:spacing w:line="240" w:lineRule="auto"/>
              <w:ind w:firstLine="480"/>
              <w:rPr>
                <w:rFonts w:asciiTheme="minorEastAsia" w:hAnsiTheme="minorEastAsia" w:eastAsiaTheme="minorEastAsia" w:cstheme="minorEastAsia"/>
              </w:rPr>
            </w:pPr>
          </w:p>
        </w:tc>
        <w:tc>
          <w:tcPr>
            <w:tcW w:w="864" w:type="dxa"/>
            <w:vAlign w:val="center"/>
          </w:tcPr>
          <w:p>
            <w:pPr>
              <w:spacing w:line="240" w:lineRule="auto"/>
              <w:ind w:firstLine="480"/>
              <w:rPr>
                <w:rFonts w:asciiTheme="minorEastAsia" w:hAnsiTheme="minorEastAsia" w:eastAsiaTheme="minorEastAsia" w:cstheme="minorEastAsia"/>
              </w:rPr>
            </w:pPr>
          </w:p>
        </w:tc>
        <w:tc>
          <w:tcPr>
            <w:tcW w:w="924" w:type="dxa"/>
            <w:vAlign w:val="center"/>
          </w:tcPr>
          <w:p>
            <w:pPr>
              <w:spacing w:line="240" w:lineRule="auto"/>
              <w:ind w:firstLine="480"/>
              <w:rPr>
                <w:rFonts w:asciiTheme="minorEastAsia" w:hAnsiTheme="minorEastAsia" w:eastAsiaTheme="minorEastAsia" w:cstheme="minorEastAsia"/>
              </w:rPr>
            </w:pPr>
          </w:p>
        </w:tc>
        <w:tc>
          <w:tcPr>
            <w:tcW w:w="828" w:type="dxa"/>
            <w:vAlign w:val="center"/>
          </w:tcPr>
          <w:p>
            <w:pPr>
              <w:spacing w:line="240" w:lineRule="auto"/>
              <w:ind w:firstLine="480"/>
              <w:rPr>
                <w:rFonts w:asciiTheme="minorEastAsia" w:hAnsiTheme="minorEastAsia" w:eastAsiaTheme="minorEastAsia" w:cstheme="minorEastAsia"/>
              </w:rPr>
            </w:pPr>
          </w:p>
        </w:tc>
        <w:tc>
          <w:tcPr>
            <w:tcW w:w="1127" w:type="dxa"/>
            <w:vAlign w:val="center"/>
          </w:tcPr>
          <w:p>
            <w:pPr>
              <w:spacing w:line="240" w:lineRule="auto"/>
              <w:ind w:firstLine="480"/>
              <w:rPr>
                <w:rFonts w:asciiTheme="minorEastAsia" w:hAnsiTheme="minorEastAsia" w:eastAsiaTheme="minorEastAsia" w:cstheme="minorEastAsia"/>
              </w:rPr>
            </w:pPr>
          </w:p>
        </w:tc>
        <w:tc>
          <w:tcPr>
            <w:tcW w:w="696" w:type="dxa"/>
            <w:vAlign w:val="center"/>
          </w:tcPr>
          <w:p>
            <w:pPr>
              <w:spacing w:line="240" w:lineRule="auto"/>
              <w:ind w:firstLine="480"/>
              <w:rPr>
                <w:rFonts w:asciiTheme="minorEastAsia" w:hAnsiTheme="minorEastAsia" w:eastAsiaTheme="minorEastAsia" w:cstheme="minorEastAsia"/>
              </w:rPr>
            </w:pPr>
          </w:p>
        </w:tc>
        <w:tc>
          <w:tcPr>
            <w:tcW w:w="782" w:type="dxa"/>
            <w:vAlign w:val="center"/>
          </w:tcPr>
          <w:p>
            <w:pPr>
              <w:spacing w:line="240" w:lineRule="auto"/>
              <w:ind w:firstLine="480"/>
              <w:rPr>
                <w:rFonts w:asciiTheme="minorEastAsia" w:hAnsiTheme="minorEastAsia" w:eastAsiaTheme="minorEastAsia" w:cstheme="minorEastAsia"/>
              </w:rPr>
            </w:pPr>
          </w:p>
        </w:tc>
        <w:tc>
          <w:tcPr>
            <w:tcW w:w="769" w:type="dxa"/>
            <w:vAlign w:val="center"/>
          </w:tcPr>
          <w:p>
            <w:pPr>
              <w:spacing w:line="240" w:lineRule="auto"/>
              <w:ind w:firstLine="48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continue"/>
            <w:vAlign w:val="center"/>
          </w:tcPr>
          <w:p>
            <w:pPr>
              <w:spacing w:beforeLines="50" w:afterLines="50" w:line="240" w:lineRule="auto"/>
              <w:ind w:firstLine="480"/>
              <w:rPr>
                <w:rFonts w:asciiTheme="minorEastAsia" w:hAnsiTheme="minorEastAsia" w:eastAsiaTheme="minorEastAsia" w:cstheme="minorEastAsia"/>
                <w:bCs/>
              </w:rPr>
            </w:pPr>
          </w:p>
        </w:tc>
        <w:tc>
          <w:tcPr>
            <w:tcW w:w="993" w:type="dxa"/>
            <w:vAlign w:val="center"/>
          </w:tcPr>
          <w:p>
            <w:pPr>
              <w:spacing w:line="240" w:lineRule="auto"/>
              <w:ind w:firstLine="480"/>
              <w:rPr>
                <w:rFonts w:asciiTheme="minorEastAsia" w:hAnsiTheme="minorEastAsia" w:eastAsiaTheme="minorEastAsia" w:cstheme="minorEastAsia"/>
              </w:rPr>
            </w:pPr>
          </w:p>
        </w:tc>
        <w:tc>
          <w:tcPr>
            <w:tcW w:w="992" w:type="dxa"/>
            <w:vAlign w:val="center"/>
          </w:tcPr>
          <w:p>
            <w:pPr>
              <w:spacing w:line="240" w:lineRule="auto"/>
              <w:ind w:firstLine="480"/>
              <w:rPr>
                <w:rFonts w:asciiTheme="minorEastAsia" w:hAnsiTheme="minorEastAsia" w:eastAsiaTheme="minorEastAsia" w:cstheme="minorEastAsia"/>
              </w:rPr>
            </w:pPr>
          </w:p>
        </w:tc>
        <w:tc>
          <w:tcPr>
            <w:tcW w:w="851" w:type="dxa"/>
            <w:vAlign w:val="center"/>
          </w:tcPr>
          <w:p>
            <w:pPr>
              <w:spacing w:line="240" w:lineRule="auto"/>
              <w:ind w:firstLine="480"/>
              <w:rPr>
                <w:rFonts w:asciiTheme="minorEastAsia" w:hAnsiTheme="minorEastAsia" w:eastAsiaTheme="minorEastAsia" w:cstheme="minorEastAsia"/>
              </w:rPr>
            </w:pPr>
          </w:p>
        </w:tc>
        <w:tc>
          <w:tcPr>
            <w:tcW w:w="850" w:type="dxa"/>
          </w:tcPr>
          <w:p>
            <w:pPr>
              <w:spacing w:line="240" w:lineRule="auto"/>
              <w:ind w:firstLine="480"/>
              <w:rPr>
                <w:rFonts w:asciiTheme="minorEastAsia" w:hAnsiTheme="minorEastAsia" w:eastAsiaTheme="minorEastAsia" w:cstheme="minorEastAsia"/>
              </w:rPr>
            </w:pPr>
          </w:p>
        </w:tc>
        <w:tc>
          <w:tcPr>
            <w:tcW w:w="864" w:type="dxa"/>
            <w:vAlign w:val="center"/>
          </w:tcPr>
          <w:p>
            <w:pPr>
              <w:spacing w:line="240" w:lineRule="auto"/>
              <w:ind w:firstLine="480"/>
              <w:rPr>
                <w:rFonts w:asciiTheme="minorEastAsia" w:hAnsiTheme="minorEastAsia" w:eastAsiaTheme="minorEastAsia" w:cstheme="minorEastAsia"/>
              </w:rPr>
            </w:pPr>
          </w:p>
        </w:tc>
        <w:tc>
          <w:tcPr>
            <w:tcW w:w="924" w:type="dxa"/>
            <w:vAlign w:val="center"/>
          </w:tcPr>
          <w:p>
            <w:pPr>
              <w:spacing w:line="240" w:lineRule="auto"/>
              <w:ind w:firstLine="480"/>
              <w:rPr>
                <w:rFonts w:asciiTheme="minorEastAsia" w:hAnsiTheme="minorEastAsia" w:eastAsiaTheme="minorEastAsia" w:cstheme="minorEastAsia"/>
              </w:rPr>
            </w:pPr>
          </w:p>
        </w:tc>
        <w:tc>
          <w:tcPr>
            <w:tcW w:w="828" w:type="dxa"/>
            <w:vAlign w:val="center"/>
          </w:tcPr>
          <w:p>
            <w:pPr>
              <w:spacing w:line="240" w:lineRule="auto"/>
              <w:ind w:firstLine="480"/>
              <w:rPr>
                <w:rFonts w:asciiTheme="minorEastAsia" w:hAnsiTheme="minorEastAsia" w:eastAsiaTheme="minorEastAsia" w:cstheme="minorEastAsia"/>
              </w:rPr>
            </w:pPr>
          </w:p>
        </w:tc>
        <w:tc>
          <w:tcPr>
            <w:tcW w:w="1127" w:type="dxa"/>
            <w:vAlign w:val="center"/>
          </w:tcPr>
          <w:p>
            <w:pPr>
              <w:spacing w:line="240" w:lineRule="auto"/>
              <w:ind w:firstLine="480"/>
              <w:rPr>
                <w:rFonts w:asciiTheme="minorEastAsia" w:hAnsiTheme="minorEastAsia" w:eastAsiaTheme="minorEastAsia" w:cstheme="minorEastAsia"/>
              </w:rPr>
            </w:pPr>
          </w:p>
        </w:tc>
        <w:tc>
          <w:tcPr>
            <w:tcW w:w="696" w:type="dxa"/>
            <w:vAlign w:val="center"/>
          </w:tcPr>
          <w:p>
            <w:pPr>
              <w:spacing w:line="240" w:lineRule="auto"/>
              <w:ind w:firstLine="480"/>
              <w:rPr>
                <w:rFonts w:asciiTheme="minorEastAsia" w:hAnsiTheme="minorEastAsia" w:eastAsiaTheme="minorEastAsia" w:cstheme="minorEastAsia"/>
              </w:rPr>
            </w:pPr>
          </w:p>
        </w:tc>
        <w:tc>
          <w:tcPr>
            <w:tcW w:w="782" w:type="dxa"/>
            <w:vAlign w:val="center"/>
          </w:tcPr>
          <w:p>
            <w:pPr>
              <w:spacing w:line="240" w:lineRule="auto"/>
              <w:ind w:firstLine="480"/>
              <w:rPr>
                <w:rFonts w:asciiTheme="minorEastAsia" w:hAnsiTheme="minorEastAsia" w:eastAsiaTheme="minorEastAsia" w:cstheme="minorEastAsia"/>
              </w:rPr>
            </w:pPr>
          </w:p>
        </w:tc>
        <w:tc>
          <w:tcPr>
            <w:tcW w:w="769" w:type="dxa"/>
            <w:vAlign w:val="center"/>
          </w:tcPr>
          <w:p>
            <w:pPr>
              <w:spacing w:line="240" w:lineRule="auto"/>
              <w:ind w:firstLine="48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continue"/>
            <w:vAlign w:val="center"/>
          </w:tcPr>
          <w:p>
            <w:pPr>
              <w:spacing w:beforeLines="50" w:afterLines="50" w:line="240" w:lineRule="auto"/>
              <w:ind w:firstLine="480"/>
              <w:rPr>
                <w:rFonts w:asciiTheme="minorEastAsia" w:hAnsiTheme="minorEastAsia" w:eastAsiaTheme="minorEastAsia" w:cstheme="minorEastAsia"/>
                <w:bCs/>
              </w:rPr>
            </w:pPr>
          </w:p>
        </w:tc>
        <w:tc>
          <w:tcPr>
            <w:tcW w:w="993" w:type="dxa"/>
            <w:vAlign w:val="center"/>
          </w:tcPr>
          <w:p>
            <w:pPr>
              <w:spacing w:line="240" w:lineRule="auto"/>
              <w:ind w:firstLine="480"/>
              <w:rPr>
                <w:rFonts w:asciiTheme="minorEastAsia" w:hAnsiTheme="minorEastAsia" w:eastAsiaTheme="minorEastAsia" w:cstheme="minorEastAsia"/>
              </w:rPr>
            </w:pPr>
          </w:p>
        </w:tc>
        <w:tc>
          <w:tcPr>
            <w:tcW w:w="992" w:type="dxa"/>
            <w:vAlign w:val="center"/>
          </w:tcPr>
          <w:p>
            <w:pPr>
              <w:spacing w:line="240" w:lineRule="auto"/>
              <w:ind w:firstLine="480"/>
              <w:rPr>
                <w:rFonts w:asciiTheme="minorEastAsia" w:hAnsiTheme="minorEastAsia" w:eastAsiaTheme="minorEastAsia" w:cstheme="minorEastAsia"/>
              </w:rPr>
            </w:pPr>
          </w:p>
        </w:tc>
        <w:tc>
          <w:tcPr>
            <w:tcW w:w="851" w:type="dxa"/>
            <w:vAlign w:val="center"/>
          </w:tcPr>
          <w:p>
            <w:pPr>
              <w:spacing w:line="240" w:lineRule="auto"/>
              <w:ind w:firstLine="480"/>
              <w:rPr>
                <w:rFonts w:asciiTheme="minorEastAsia" w:hAnsiTheme="minorEastAsia" w:eastAsiaTheme="minorEastAsia" w:cstheme="minorEastAsia"/>
              </w:rPr>
            </w:pPr>
          </w:p>
        </w:tc>
        <w:tc>
          <w:tcPr>
            <w:tcW w:w="850" w:type="dxa"/>
          </w:tcPr>
          <w:p>
            <w:pPr>
              <w:spacing w:line="240" w:lineRule="auto"/>
              <w:ind w:firstLine="480"/>
              <w:rPr>
                <w:rFonts w:asciiTheme="minorEastAsia" w:hAnsiTheme="minorEastAsia" w:eastAsiaTheme="minorEastAsia" w:cstheme="minorEastAsia"/>
              </w:rPr>
            </w:pPr>
          </w:p>
        </w:tc>
        <w:tc>
          <w:tcPr>
            <w:tcW w:w="864" w:type="dxa"/>
            <w:vAlign w:val="center"/>
          </w:tcPr>
          <w:p>
            <w:pPr>
              <w:spacing w:line="240" w:lineRule="auto"/>
              <w:ind w:firstLine="480"/>
              <w:rPr>
                <w:rFonts w:asciiTheme="minorEastAsia" w:hAnsiTheme="minorEastAsia" w:eastAsiaTheme="minorEastAsia" w:cstheme="minorEastAsia"/>
              </w:rPr>
            </w:pPr>
          </w:p>
        </w:tc>
        <w:tc>
          <w:tcPr>
            <w:tcW w:w="924" w:type="dxa"/>
            <w:vAlign w:val="center"/>
          </w:tcPr>
          <w:p>
            <w:pPr>
              <w:spacing w:line="240" w:lineRule="auto"/>
              <w:ind w:firstLine="480"/>
              <w:rPr>
                <w:rFonts w:asciiTheme="minorEastAsia" w:hAnsiTheme="minorEastAsia" w:eastAsiaTheme="minorEastAsia" w:cstheme="minorEastAsia"/>
              </w:rPr>
            </w:pPr>
          </w:p>
        </w:tc>
        <w:tc>
          <w:tcPr>
            <w:tcW w:w="828" w:type="dxa"/>
            <w:vAlign w:val="center"/>
          </w:tcPr>
          <w:p>
            <w:pPr>
              <w:spacing w:line="240" w:lineRule="auto"/>
              <w:ind w:firstLine="480"/>
              <w:rPr>
                <w:rFonts w:asciiTheme="minorEastAsia" w:hAnsiTheme="minorEastAsia" w:eastAsiaTheme="minorEastAsia" w:cstheme="minorEastAsia"/>
              </w:rPr>
            </w:pPr>
          </w:p>
        </w:tc>
        <w:tc>
          <w:tcPr>
            <w:tcW w:w="1127" w:type="dxa"/>
            <w:vAlign w:val="center"/>
          </w:tcPr>
          <w:p>
            <w:pPr>
              <w:spacing w:line="240" w:lineRule="auto"/>
              <w:ind w:firstLine="480"/>
              <w:rPr>
                <w:rFonts w:asciiTheme="minorEastAsia" w:hAnsiTheme="minorEastAsia" w:eastAsiaTheme="minorEastAsia" w:cstheme="minorEastAsia"/>
              </w:rPr>
            </w:pPr>
          </w:p>
        </w:tc>
        <w:tc>
          <w:tcPr>
            <w:tcW w:w="696" w:type="dxa"/>
            <w:vAlign w:val="center"/>
          </w:tcPr>
          <w:p>
            <w:pPr>
              <w:spacing w:line="240" w:lineRule="auto"/>
              <w:ind w:firstLine="480"/>
              <w:rPr>
                <w:rFonts w:asciiTheme="minorEastAsia" w:hAnsiTheme="minorEastAsia" w:eastAsiaTheme="minorEastAsia" w:cstheme="minorEastAsia"/>
              </w:rPr>
            </w:pPr>
          </w:p>
        </w:tc>
        <w:tc>
          <w:tcPr>
            <w:tcW w:w="782" w:type="dxa"/>
            <w:vAlign w:val="center"/>
          </w:tcPr>
          <w:p>
            <w:pPr>
              <w:spacing w:line="240" w:lineRule="auto"/>
              <w:ind w:firstLine="480"/>
              <w:rPr>
                <w:rFonts w:asciiTheme="minorEastAsia" w:hAnsiTheme="minorEastAsia" w:eastAsiaTheme="minorEastAsia" w:cstheme="minorEastAsia"/>
              </w:rPr>
            </w:pPr>
          </w:p>
        </w:tc>
        <w:tc>
          <w:tcPr>
            <w:tcW w:w="769" w:type="dxa"/>
            <w:vAlign w:val="center"/>
          </w:tcPr>
          <w:p>
            <w:pPr>
              <w:spacing w:line="240" w:lineRule="auto"/>
              <w:ind w:firstLine="48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restart"/>
            <w:vAlign w:val="center"/>
          </w:tcPr>
          <w:p>
            <w:pPr>
              <w:spacing w:beforeLines="50" w:afterLines="50" w:line="240" w:lineRule="auto"/>
              <w:rPr>
                <w:rFonts w:asciiTheme="minorEastAsia" w:hAnsiTheme="minorEastAsia" w:eastAsiaTheme="minorEastAsia" w:cstheme="minorEastAsia"/>
              </w:rPr>
            </w:pPr>
            <w:r>
              <w:rPr>
                <w:rFonts w:hint="eastAsia" w:asciiTheme="minorEastAsia" w:hAnsiTheme="minorEastAsia" w:eastAsiaTheme="minorEastAsia" w:cstheme="minorEastAsia"/>
              </w:rPr>
              <w:t>其他人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员</w:t>
            </w:r>
          </w:p>
        </w:tc>
        <w:tc>
          <w:tcPr>
            <w:tcW w:w="993" w:type="dxa"/>
            <w:vAlign w:val="center"/>
          </w:tcPr>
          <w:p>
            <w:pPr>
              <w:spacing w:line="240" w:lineRule="auto"/>
              <w:ind w:firstLine="480"/>
              <w:rPr>
                <w:rFonts w:asciiTheme="minorEastAsia" w:hAnsiTheme="minorEastAsia" w:eastAsiaTheme="minorEastAsia" w:cstheme="minorEastAsia"/>
              </w:rPr>
            </w:pPr>
          </w:p>
        </w:tc>
        <w:tc>
          <w:tcPr>
            <w:tcW w:w="992" w:type="dxa"/>
            <w:vAlign w:val="center"/>
          </w:tcPr>
          <w:p>
            <w:pPr>
              <w:spacing w:line="240" w:lineRule="auto"/>
              <w:ind w:firstLine="480"/>
              <w:rPr>
                <w:rFonts w:asciiTheme="minorEastAsia" w:hAnsiTheme="minorEastAsia" w:eastAsiaTheme="minorEastAsia" w:cstheme="minorEastAsia"/>
              </w:rPr>
            </w:pPr>
          </w:p>
        </w:tc>
        <w:tc>
          <w:tcPr>
            <w:tcW w:w="851" w:type="dxa"/>
            <w:vAlign w:val="center"/>
          </w:tcPr>
          <w:p>
            <w:pPr>
              <w:spacing w:line="240" w:lineRule="auto"/>
              <w:ind w:firstLine="480"/>
              <w:rPr>
                <w:rFonts w:asciiTheme="minorEastAsia" w:hAnsiTheme="minorEastAsia" w:eastAsiaTheme="minorEastAsia" w:cstheme="minorEastAsia"/>
              </w:rPr>
            </w:pPr>
          </w:p>
        </w:tc>
        <w:tc>
          <w:tcPr>
            <w:tcW w:w="850" w:type="dxa"/>
          </w:tcPr>
          <w:p>
            <w:pPr>
              <w:spacing w:line="240" w:lineRule="auto"/>
              <w:ind w:firstLine="480"/>
              <w:rPr>
                <w:rFonts w:asciiTheme="minorEastAsia" w:hAnsiTheme="minorEastAsia" w:eastAsiaTheme="minorEastAsia" w:cstheme="minorEastAsia"/>
              </w:rPr>
            </w:pPr>
          </w:p>
        </w:tc>
        <w:tc>
          <w:tcPr>
            <w:tcW w:w="864" w:type="dxa"/>
            <w:vAlign w:val="center"/>
          </w:tcPr>
          <w:p>
            <w:pPr>
              <w:spacing w:line="240" w:lineRule="auto"/>
              <w:ind w:firstLine="480"/>
              <w:rPr>
                <w:rFonts w:asciiTheme="minorEastAsia" w:hAnsiTheme="minorEastAsia" w:eastAsiaTheme="minorEastAsia" w:cstheme="minorEastAsia"/>
              </w:rPr>
            </w:pPr>
          </w:p>
        </w:tc>
        <w:tc>
          <w:tcPr>
            <w:tcW w:w="924" w:type="dxa"/>
            <w:vAlign w:val="center"/>
          </w:tcPr>
          <w:p>
            <w:pPr>
              <w:spacing w:line="240" w:lineRule="auto"/>
              <w:ind w:firstLine="480"/>
              <w:rPr>
                <w:rFonts w:asciiTheme="minorEastAsia" w:hAnsiTheme="minorEastAsia" w:eastAsiaTheme="minorEastAsia" w:cstheme="minorEastAsia"/>
              </w:rPr>
            </w:pPr>
          </w:p>
        </w:tc>
        <w:tc>
          <w:tcPr>
            <w:tcW w:w="828" w:type="dxa"/>
            <w:vAlign w:val="center"/>
          </w:tcPr>
          <w:p>
            <w:pPr>
              <w:spacing w:line="240" w:lineRule="auto"/>
              <w:ind w:firstLine="480"/>
              <w:rPr>
                <w:rFonts w:asciiTheme="minorEastAsia" w:hAnsiTheme="minorEastAsia" w:eastAsiaTheme="minorEastAsia" w:cstheme="minorEastAsia"/>
              </w:rPr>
            </w:pPr>
          </w:p>
        </w:tc>
        <w:tc>
          <w:tcPr>
            <w:tcW w:w="1127" w:type="dxa"/>
            <w:vAlign w:val="center"/>
          </w:tcPr>
          <w:p>
            <w:pPr>
              <w:spacing w:line="240" w:lineRule="auto"/>
              <w:ind w:firstLine="480"/>
              <w:rPr>
                <w:rFonts w:asciiTheme="minorEastAsia" w:hAnsiTheme="minorEastAsia" w:eastAsiaTheme="minorEastAsia" w:cstheme="minorEastAsia"/>
              </w:rPr>
            </w:pPr>
          </w:p>
        </w:tc>
        <w:tc>
          <w:tcPr>
            <w:tcW w:w="696" w:type="dxa"/>
            <w:vAlign w:val="center"/>
          </w:tcPr>
          <w:p>
            <w:pPr>
              <w:spacing w:line="240" w:lineRule="auto"/>
              <w:ind w:firstLine="480"/>
              <w:rPr>
                <w:rFonts w:asciiTheme="minorEastAsia" w:hAnsiTheme="minorEastAsia" w:eastAsiaTheme="minorEastAsia" w:cstheme="minorEastAsia"/>
              </w:rPr>
            </w:pPr>
          </w:p>
        </w:tc>
        <w:tc>
          <w:tcPr>
            <w:tcW w:w="782" w:type="dxa"/>
            <w:vAlign w:val="center"/>
          </w:tcPr>
          <w:p>
            <w:pPr>
              <w:spacing w:line="240" w:lineRule="auto"/>
              <w:ind w:firstLine="480"/>
              <w:rPr>
                <w:rFonts w:asciiTheme="minorEastAsia" w:hAnsiTheme="minorEastAsia" w:eastAsiaTheme="minorEastAsia" w:cstheme="minorEastAsia"/>
              </w:rPr>
            </w:pPr>
          </w:p>
        </w:tc>
        <w:tc>
          <w:tcPr>
            <w:tcW w:w="769" w:type="dxa"/>
            <w:vAlign w:val="center"/>
          </w:tcPr>
          <w:p>
            <w:pPr>
              <w:spacing w:line="240" w:lineRule="auto"/>
              <w:ind w:firstLine="480"/>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802" w:type="dxa"/>
            <w:vMerge w:val="continue"/>
            <w:vAlign w:val="center"/>
          </w:tcPr>
          <w:p>
            <w:pPr>
              <w:spacing w:line="240" w:lineRule="auto"/>
              <w:ind w:firstLine="480"/>
              <w:rPr>
                <w:rFonts w:asciiTheme="minorEastAsia" w:hAnsiTheme="minorEastAsia" w:eastAsiaTheme="minorEastAsia" w:cstheme="minorEastAsia"/>
              </w:rPr>
            </w:pPr>
          </w:p>
        </w:tc>
        <w:tc>
          <w:tcPr>
            <w:tcW w:w="993" w:type="dxa"/>
            <w:vAlign w:val="center"/>
          </w:tcPr>
          <w:p>
            <w:pPr>
              <w:spacing w:line="240" w:lineRule="auto"/>
              <w:ind w:firstLine="480"/>
              <w:rPr>
                <w:rFonts w:asciiTheme="minorEastAsia" w:hAnsiTheme="minorEastAsia" w:eastAsiaTheme="minorEastAsia" w:cstheme="minorEastAsia"/>
              </w:rPr>
            </w:pPr>
          </w:p>
        </w:tc>
        <w:tc>
          <w:tcPr>
            <w:tcW w:w="992" w:type="dxa"/>
            <w:vAlign w:val="center"/>
          </w:tcPr>
          <w:p>
            <w:pPr>
              <w:spacing w:line="240" w:lineRule="auto"/>
              <w:ind w:firstLine="482"/>
              <w:rPr>
                <w:rFonts w:asciiTheme="minorEastAsia" w:hAnsiTheme="minorEastAsia" w:eastAsiaTheme="minorEastAsia" w:cstheme="minorEastAsia"/>
                <w:b/>
                <w:bCs/>
              </w:rPr>
            </w:pPr>
          </w:p>
        </w:tc>
        <w:tc>
          <w:tcPr>
            <w:tcW w:w="851" w:type="dxa"/>
            <w:vAlign w:val="center"/>
          </w:tcPr>
          <w:p>
            <w:pPr>
              <w:spacing w:line="240" w:lineRule="auto"/>
              <w:ind w:firstLine="482"/>
              <w:rPr>
                <w:rFonts w:asciiTheme="minorEastAsia" w:hAnsiTheme="minorEastAsia" w:eastAsiaTheme="minorEastAsia" w:cstheme="minorEastAsia"/>
                <w:b/>
                <w:bCs/>
              </w:rPr>
            </w:pPr>
          </w:p>
        </w:tc>
        <w:tc>
          <w:tcPr>
            <w:tcW w:w="850" w:type="dxa"/>
          </w:tcPr>
          <w:p>
            <w:pPr>
              <w:spacing w:line="240" w:lineRule="auto"/>
              <w:ind w:firstLine="482"/>
              <w:rPr>
                <w:rFonts w:asciiTheme="minorEastAsia" w:hAnsiTheme="minorEastAsia" w:eastAsiaTheme="minorEastAsia" w:cstheme="minorEastAsia"/>
                <w:b/>
                <w:bCs/>
              </w:rPr>
            </w:pPr>
          </w:p>
        </w:tc>
        <w:tc>
          <w:tcPr>
            <w:tcW w:w="864" w:type="dxa"/>
            <w:vAlign w:val="center"/>
          </w:tcPr>
          <w:p>
            <w:pPr>
              <w:spacing w:line="240" w:lineRule="auto"/>
              <w:ind w:firstLine="482"/>
              <w:rPr>
                <w:rFonts w:asciiTheme="minorEastAsia" w:hAnsiTheme="minorEastAsia" w:eastAsiaTheme="minorEastAsia" w:cstheme="minorEastAsia"/>
                <w:b/>
                <w:bCs/>
              </w:rPr>
            </w:pPr>
          </w:p>
        </w:tc>
        <w:tc>
          <w:tcPr>
            <w:tcW w:w="924" w:type="dxa"/>
            <w:vAlign w:val="center"/>
          </w:tcPr>
          <w:p>
            <w:pPr>
              <w:spacing w:line="240" w:lineRule="auto"/>
              <w:ind w:firstLine="482"/>
              <w:rPr>
                <w:rFonts w:asciiTheme="minorEastAsia" w:hAnsiTheme="minorEastAsia" w:eastAsiaTheme="minorEastAsia" w:cstheme="minorEastAsia"/>
                <w:b/>
                <w:bCs/>
              </w:rPr>
            </w:pPr>
          </w:p>
        </w:tc>
        <w:tc>
          <w:tcPr>
            <w:tcW w:w="828" w:type="dxa"/>
            <w:vAlign w:val="center"/>
          </w:tcPr>
          <w:p>
            <w:pPr>
              <w:spacing w:line="240" w:lineRule="auto"/>
              <w:ind w:firstLine="482"/>
              <w:rPr>
                <w:rFonts w:asciiTheme="minorEastAsia" w:hAnsiTheme="minorEastAsia" w:eastAsiaTheme="minorEastAsia" w:cstheme="minorEastAsia"/>
                <w:b/>
                <w:bCs/>
              </w:rPr>
            </w:pPr>
          </w:p>
        </w:tc>
        <w:tc>
          <w:tcPr>
            <w:tcW w:w="1127" w:type="dxa"/>
            <w:vAlign w:val="center"/>
          </w:tcPr>
          <w:p>
            <w:pPr>
              <w:spacing w:line="240" w:lineRule="auto"/>
              <w:ind w:firstLine="482"/>
              <w:rPr>
                <w:rFonts w:asciiTheme="minorEastAsia" w:hAnsiTheme="minorEastAsia" w:eastAsiaTheme="minorEastAsia" w:cstheme="minorEastAsia"/>
                <w:b/>
                <w:bCs/>
              </w:rPr>
            </w:pPr>
          </w:p>
        </w:tc>
        <w:tc>
          <w:tcPr>
            <w:tcW w:w="696" w:type="dxa"/>
            <w:vAlign w:val="center"/>
          </w:tcPr>
          <w:p>
            <w:pPr>
              <w:spacing w:line="240" w:lineRule="auto"/>
              <w:ind w:firstLine="482"/>
              <w:rPr>
                <w:rFonts w:asciiTheme="minorEastAsia" w:hAnsiTheme="minorEastAsia" w:eastAsiaTheme="minorEastAsia" w:cstheme="minorEastAsia"/>
                <w:b/>
                <w:bCs/>
              </w:rPr>
            </w:pPr>
          </w:p>
        </w:tc>
        <w:tc>
          <w:tcPr>
            <w:tcW w:w="782" w:type="dxa"/>
            <w:vAlign w:val="center"/>
          </w:tcPr>
          <w:p>
            <w:pPr>
              <w:spacing w:line="240" w:lineRule="auto"/>
              <w:ind w:firstLine="482"/>
              <w:rPr>
                <w:rFonts w:asciiTheme="minorEastAsia" w:hAnsiTheme="minorEastAsia" w:eastAsiaTheme="minorEastAsia" w:cstheme="minorEastAsia"/>
                <w:b/>
                <w:bCs/>
              </w:rPr>
            </w:pPr>
          </w:p>
        </w:tc>
        <w:tc>
          <w:tcPr>
            <w:tcW w:w="769" w:type="dxa"/>
            <w:vAlign w:val="center"/>
          </w:tcPr>
          <w:p>
            <w:pPr>
              <w:spacing w:line="240" w:lineRule="auto"/>
              <w:ind w:firstLine="482"/>
              <w:rPr>
                <w:rFonts w:asciiTheme="minorEastAsia" w:hAnsiTheme="minorEastAsia" w:eastAsiaTheme="minorEastAsia" w:cstheme="min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02" w:type="dxa"/>
            <w:vMerge w:val="continue"/>
            <w:vAlign w:val="center"/>
          </w:tcPr>
          <w:p>
            <w:pPr>
              <w:spacing w:line="240" w:lineRule="auto"/>
              <w:ind w:firstLine="480"/>
              <w:rPr>
                <w:rFonts w:asciiTheme="minorEastAsia" w:hAnsiTheme="minorEastAsia" w:eastAsiaTheme="minorEastAsia" w:cstheme="minorEastAsia"/>
              </w:rPr>
            </w:pPr>
          </w:p>
        </w:tc>
        <w:tc>
          <w:tcPr>
            <w:tcW w:w="993" w:type="dxa"/>
            <w:vAlign w:val="center"/>
          </w:tcPr>
          <w:p>
            <w:pPr>
              <w:spacing w:line="240" w:lineRule="auto"/>
              <w:ind w:firstLine="480"/>
              <w:rPr>
                <w:rFonts w:asciiTheme="minorEastAsia" w:hAnsiTheme="minorEastAsia" w:eastAsiaTheme="minorEastAsia" w:cstheme="minorEastAsia"/>
              </w:rPr>
            </w:pPr>
          </w:p>
        </w:tc>
        <w:tc>
          <w:tcPr>
            <w:tcW w:w="992" w:type="dxa"/>
            <w:vAlign w:val="center"/>
          </w:tcPr>
          <w:p>
            <w:pPr>
              <w:spacing w:line="240" w:lineRule="auto"/>
              <w:ind w:firstLine="482"/>
              <w:rPr>
                <w:rFonts w:asciiTheme="minorEastAsia" w:hAnsiTheme="minorEastAsia" w:eastAsiaTheme="minorEastAsia" w:cstheme="minorEastAsia"/>
                <w:b/>
                <w:bCs/>
              </w:rPr>
            </w:pPr>
          </w:p>
        </w:tc>
        <w:tc>
          <w:tcPr>
            <w:tcW w:w="851" w:type="dxa"/>
            <w:vAlign w:val="center"/>
          </w:tcPr>
          <w:p>
            <w:pPr>
              <w:spacing w:line="240" w:lineRule="auto"/>
              <w:ind w:firstLine="482"/>
              <w:rPr>
                <w:rFonts w:asciiTheme="minorEastAsia" w:hAnsiTheme="minorEastAsia" w:eastAsiaTheme="minorEastAsia" w:cstheme="minorEastAsia"/>
                <w:b/>
                <w:bCs/>
              </w:rPr>
            </w:pPr>
          </w:p>
        </w:tc>
        <w:tc>
          <w:tcPr>
            <w:tcW w:w="850" w:type="dxa"/>
          </w:tcPr>
          <w:p>
            <w:pPr>
              <w:spacing w:line="240" w:lineRule="auto"/>
              <w:ind w:firstLine="482"/>
              <w:rPr>
                <w:rFonts w:asciiTheme="minorEastAsia" w:hAnsiTheme="minorEastAsia" w:eastAsiaTheme="minorEastAsia" w:cstheme="minorEastAsia"/>
                <w:b/>
                <w:bCs/>
              </w:rPr>
            </w:pPr>
          </w:p>
        </w:tc>
        <w:tc>
          <w:tcPr>
            <w:tcW w:w="864" w:type="dxa"/>
            <w:vAlign w:val="center"/>
          </w:tcPr>
          <w:p>
            <w:pPr>
              <w:spacing w:line="240" w:lineRule="auto"/>
              <w:ind w:firstLine="482"/>
              <w:rPr>
                <w:rFonts w:asciiTheme="minorEastAsia" w:hAnsiTheme="minorEastAsia" w:eastAsiaTheme="minorEastAsia" w:cstheme="minorEastAsia"/>
                <w:b/>
                <w:bCs/>
              </w:rPr>
            </w:pPr>
          </w:p>
        </w:tc>
        <w:tc>
          <w:tcPr>
            <w:tcW w:w="924" w:type="dxa"/>
            <w:vAlign w:val="center"/>
          </w:tcPr>
          <w:p>
            <w:pPr>
              <w:spacing w:line="240" w:lineRule="auto"/>
              <w:ind w:firstLine="482"/>
              <w:rPr>
                <w:rFonts w:asciiTheme="minorEastAsia" w:hAnsiTheme="minorEastAsia" w:eastAsiaTheme="minorEastAsia" w:cstheme="minorEastAsia"/>
                <w:b/>
                <w:bCs/>
              </w:rPr>
            </w:pPr>
          </w:p>
        </w:tc>
        <w:tc>
          <w:tcPr>
            <w:tcW w:w="828" w:type="dxa"/>
            <w:vAlign w:val="center"/>
          </w:tcPr>
          <w:p>
            <w:pPr>
              <w:spacing w:line="240" w:lineRule="auto"/>
              <w:ind w:firstLine="482"/>
              <w:rPr>
                <w:rFonts w:asciiTheme="minorEastAsia" w:hAnsiTheme="minorEastAsia" w:eastAsiaTheme="minorEastAsia" w:cstheme="minorEastAsia"/>
                <w:b/>
                <w:bCs/>
              </w:rPr>
            </w:pPr>
          </w:p>
        </w:tc>
        <w:tc>
          <w:tcPr>
            <w:tcW w:w="1127" w:type="dxa"/>
            <w:vAlign w:val="center"/>
          </w:tcPr>
          <w:p>
            <w:pPr>
              <w:spacing w:line="240" w:lineRule="auto"/>
              <w:ind w:firstLine="482"/>
              <w:rPr>
                <w:rFonts w:asciiTheme="minorEastAsia" w:hAnsiTheme="minorEastAsia" w:eastAsiaTheme="minorEastAsia" w:cstheme="minorEastAsia"/>
                <w:b/>
                <w:bCs/>
              </w:rPr>
            </w:pPr>
          </w:p>
        </w:tc>
        <w:tc>
          <w:tcPr>
            <w:tcW w:w="696" w:type="dxa"/>
            <w:vAlign w:val="center"/>
          </w:tcPr>
          <w:p>
            <w:pPr>
              <w:spacing w:line="240" w:lineRule="auto"/>
              <w:ind w:firstLine="482"/>
              <w:rPr>
                <w:rFonts w:asciiTheme="minorEastAsia" w:hAnsiTheme="minorEastAsia" w:eastAsiaTheme="minorEastAsia" w:cstheme="minorEastAsia"/>
                <w:b/>
                <w:bCs/>
              </w:rPr>
            </w:pPr>
          </w:p>
        </w:tc>
        <w:tc>
          <w:tcPr>
            <w:tcW w:w="782" w:type="dxa"/>
            <w:vAlign w:val="center"/>
          </w:tcPr>
          <w:p>
            <w:pPr>
              <w:spacing w:line="240" w:lineRule="auto"/>
              <w:ind w:firstLine="482"/>
              <w:rPr>
                <w:rFonts w:asciiTheme="minorEastAsia" w:hAnsiTheme="minorEastAsia" w:eastAsiaTheme="minorEastAsia" w:cstheme="minorEastAsia"/>
                <w:b/>
                <w:bCs/>
              </w:rPr>
            </w:pPr>
          </w:p>
        </w:tc>
        <w:tc>
          <w:tcPr>
            <w:tcW w:w="769" w:type="dxa"/>
            <w:vAlign w:val="center"/>
          </w:tcPr>
          <w:p>
            <w:pPr>
              <w:spacing w:line="240" w:lineRule="auto"/>
              <w:ind w:firstLine="482"/>
              <w:rPr>
                <w:rFonts w:asciiTheme="minorEastAsia" w:hAnsiTheme="minorEastAsia" w:eastAsiaTheme="minorEastAsia" w:cstheme="minorEastAsia"/>
                <w:b/>
                <w:bCs/>
              </w:rPr>
            </w:pPr>
          </w:p>
        </w:tc>
      </w:tr>
    </w:tbl>
    <w:p>
      <w:pPr>
        <w:pStyle w:val="6"/>
        <w:adjustRightInd w:val="0"/>
        <w:snapToGrid w:val="0"/>
        <w:spacing w:line="360" w:lineRule="auto"/>
        <w:ind w:firstLine="420" w:firstLineChars="200"/>
        <w:jc w:val="both"/>
        <w:rPr>
          <w:rFonts w:hint="default" w:ascii="宋体" w:hAnsi="宋体" w:eastAsia="宋体" w:cs="宋体-18030"/>
          <w:kern w:val="2"/>
          <w:sz w:val="21"/>
          <w:szCs w:val="21"/>
          <w:lang w:val="en-US" w:eastAsia="zh-CN" w:bidi="ar-SA"/>
        </w:rPr>
      </w:pPr>
    </w:p>
    <w:p>
      <w:pPr>
        <w:pStyle w:val="6"/>
        <w:adjustRightInd w:val="0"/>
        <w:snapToGrid w:val="0"/>
        <w:spacing w:line="360" w:lineRule="auto"/>
        <w:ind w:firstLine="420" w:firstLineChars="200"/>
        <w:jc w:val="both"/>
        <w:rPr>
          <w:rFonts w:hint="default" w:ascii="宋体" w:hAnsi="宋体" w:eastAsia="宋体" w:cs="宋体-18030"/>
          <w:kern w:val="2"/>
          <w:sz w:val="21"/>
          <w:szCs w:val="21"/>
          <w:lang w:val="en-US" w:eastAsia="zh-CN" w:bidi="ar-SA"/>
        </w:rPr>
      </w:pPr>
      <w:r>
        <w:rPr>
          <w:rFonts w:hint="eastAsia" w:ascii="宋体" w:hAnsi="宋体" w:eastAsia="宋体" w:cs="宋体-18030"/>
          <w:kern w:val="2"/>
          <w:sz w:val="21"/>
          <w:szCs w:val="21"/>
          <w:lang w:val="en-US" w:eastAsia="zh-CN" w:bidi="ar-SA"/>
        </w:rPr>
        <w:t>注：1.此表可根据实际情况自行增删行数；2.此表后附人员身份证、学历证、资格证（如有）、注册证（如有）等证件复印件或扫描件（加盖供应商公章）</w:t>
      </w:r>
    </w:p>
    <w:p>
      <w:pPr>
        <w:pStyle w:val="6"/>
        <w:adjustRightInd w:val="0"/>
        <w:snapToGrid w:val="0"/>
        <w:spacing w:line="360" w:lineRule="auto"/>
        <w:ind w:firstLine="482" w:firstLineChars="200"/>
        <w:jc w:val="center"/>
        <w:rPr>
          <w:rFonts w:hint="eastAsia" w:ascii="宋体" w:hAnsi="宋体"/>
          <w:b/>
          <w:bCs/>
          <w:sz w:val="24"/>
        </w:rPr>
      </w:pPr>
    </w:p>
    <w:p>
      <w:pPr>
        <w:adjustRightInd w:val="0"/>
        <w:spacing w:beforeLines="100" w:afterLines="50" w:line="240" w:lineRule="auto"/>
        <w:ind w:right="480"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供应商名称（盖章）：XXXXXXX有限公司</w:t>
      </w:r>
    </w:p>
    <w:p>
      <w:pPr>
        <w:adjustRightInd w:val="0"/>
        <w:spacing w:beforeLines="100" w:afterLines="50" w:line="240" w:lineRule="auto"/>
        <w:ind w:right="480"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法定代表人或授权代表（签字）：                </w:t>
      </w:r>
    </w:p>
    <w:p>
      <w:pPr>
        <w:spacing w:line="240" w:lineRule="atLeast"/>
        <w:ind w:firstLine="480"/>
        <w:jc w:val="center"/>
        <w:rPr>
          <w:rFonts w:asciiTheme="minorEastAsia" w:hAnsiTheme="minorEastAsia" w:eastAsiaTheme="minorEastAsia" w:cstheme="minorEastAsia"/>
        </w:rPr>
      </w:pPr>
      <w:r>
        <w:rPr>
          <w:rFonts w:hint="eastAsia" w:asciiTheme="minorEastAsia" w:hAnsiTheme="minorEastAsia" w:eastAsiaTheme="minorEastAsia" w:cstheme="minorEastAsia"/>
        </w:rPr>
        <w:t>竞标日期：</w:t>
      </w:r>
    </w:p>
    <w:p>
      <w:pPr>
        <w:rPr>
          <w:rFonts w:hint="eastAsia" w:ascii="宋体" w:hAnsi="宋体"/>
          <w:b/>
          <w:bCs/>
          <w:sz w:val="24"/>
          <w:lang w:val="en-US" w:eastAsia="zh-CN"/>
        </w:rPr>
      </w:pPr>
      <w:r>
        <w:rPr>
          <w:rFonts w:hint="eastAsia" w:ascii="宋体" w:hAnsi="宋体"/>
          <w:b/>
          <w:bCs/>
          <w:sz w:val="24"/>
          <w:lang w:val="en-US" w:eastAsia="zh-CN"/>
        </w:rPr>
        <w:br w:type="page"/>
      </w:r>
    </w:p>
    <w:p>
      <w:pPr>
        <w:pStyle w:val="6"/>
        <w:adjustRightInd w:val="0"/>
        <w:snapToGrid w:val="0"/>
        <w:spacing w:line="360" w:lineRule="auto"/>
        <w:ind w:left="0" w:leftChars="0" w:firstLine="0" w:firstLineChars="0"/>
        <w:jc w:val="both"/>
        <w:rPr>
          <w:rFonts w:hint="eastAsia" w:ascii="宋体" w:hAnsi="宋体"/>
          <w:b/>
          <w:bCs/>
          <w:sz w:val="24"/>
          <w:lang w:val="en-US" w:eastAsia="zh-CN"/>
        </w:rPr>
      </w:pPr>
      <w:r>
        <w:rPr>
          <w:rFonts w:hint="eastAsia" w:ascii="宋体" w:hAnsi="宋体"/>
          <w:b/>
          <w:bCs/>
          <w:sz w:val="24"/>
          <w:lang w:val="en-US" w:eastAsia="zh-CN"/>
        </w:rPr>
        <w:t>2.业绩</w:t>
      </w:r>
    </w:p>
    <w:p>
      <w:pPr>
        <w:pStyle w:val="9"/>
        <w:spacing w:line="240" w:lineRule="auto"/>
        <w:ind w:firstLine="723"/>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同类或类似业绩一览表</w:t>
      </w:r>
    </w:p>
    <w:tbl>
      <w:tblPr>
        <w:tblStyle w:val="16"/>
        <w:tblW w:w="108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517"/>
        <w:gridCol w:w="1144"/>
        <w:gridCol w:w="1144"/>
        <w:gridCol w:w="1144"/>
        <w:gridCol w:w="1144"/>
        <w:gridCol w:w="1144"/>
        <w:gridCol w:w="1144"/>
        <w:gridCol w:w="1144"/>
        <w:gridCol w:w="1144"/>
        <w:gridCol w:w="11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tcBorders>
              <w:top w:val="single" w:color="auto" w:sz="4" w:space="0"/>
            </w:tcBorders>
            <w:vAlign w:val="center"/>
          </w:tcPr>
          <w:p>
            <w:pPr>
              <w:spacing w:line="240" w:lineRule="auto"/>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1144" w:type="dxa"/>
            <w:vAlign w:val="center"/>
          </w:tcPr>
          <w:p>
            <w:pPr>
              <w:spacing w:line="240" w:lineRule="auto"/>
              <w:ind w:firstLine="36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采购人</w:t>
            </w:r>
          </w:p>
        </w:tc>
        <w:tc>
          <w:tcPr>
            <w:tcW w:w="1144" w:type="dxa"/>
            <w:tcBorders>
              <w:right w:val="single" w:color="auto" w:sz="4" w:space="0"/>
            </w:tcBorders>
            <w:vAlign w:val="center"/>
          </w:tcPr>
          <w:p>
            <w:pPr>
              <w:spacing w:line="240" w:lineRule="auto"/>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项目名称</w:t>
            </w:r>
          </w:p>
        </w:tc>
        <w:tc>
          <w:tcPr>
            <w:tcW w:w="1144" w:type="dxa"/>
            <w:tcBorders>
              <w:left w:val="single" w:color="auto" w:sz="4" w:space="0"/>
            </w:tcBorders>
            <w:vAlign w:val="center"/>
          </w:tcPr>
          <w:p>
            <w:pPr>
              <w:spacing w:line="240" w:lineRule="auto"/>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履属交易平台名称</w:t>
            </w:r>
          </w:p>
        </w:tc>
        <w:tc>
          <w:tcPr>
            <w:tcW w:w="1144" w:type="dxa"/>
            <w:tcBorders>
              <w:right w:val="single" w:color="auto" w:sz="4" w:space="0"/>
            </w:tcBorders>
            <w:vAlign w:val="center"/>
          </w:tcPr>
          <w:p>
            <w:pPr>
              <w:spacing w:line="240" w:lineRule="auto"/>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合同主要产品</w:t>
            </w:r>
          </w:p>
        </w:tc>
        <w:tc>
          <w:tcPr>
            <w:tcW w:w="1144" w:type="dxa"/>
            <w:tcBorders>
              <w:left w:val="single" w:color="auto" w:sz="4" w:space="0"/>
              <w:right w:val="single" w:color="auto" w:sz="4" w:space="0"/>
            </w:tcBorders>
            <w:vAlign w:val="center"/>
          </w:tcPr>
          <w:p>
            <w:pPr>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合同金额</w:t>
            </w:r>
          </w:p>
        </w:tc>
        <w:tc>
          <w:tcPr>
            <w:tcW w:w="1144" w:type="dxa"/>
            <w:tcBorders>
              <w:left w:val="single" w:color="auto" w:sz="4" w:space="0"/>
            </w:tcBorders>
            <w:vAlign w:val="center"/>
          </w:tcPr>
          <w:p>
            <w:pPr>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供应商负责人</w:t>
            </w:r>
          </w:p>
        </w:tc>
        <w:tc>
          <w:tcPr>
            <w:tcW w:w="1144" w:type="dxa"/>
            <w:tcBorders>
              <w:right w:val="single" w:color="auto" w:sz="4" w:space="0"/>
            </w:tcBorders>
            <w:vAlign w:val="center"/>
          </w:tcPr>
          <w:p>
            <w:pPr>
              <w:spacing w:line="240" w:lineRule="auto"/>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采购方式</w:t>
            </w:r>
          </w:p>
        </w:tc>
        <w:tc>
          <w:tcPr>
            <w:tcW w:w="1144" w:type="dxa"/>
            <w:tcBorders>
              <w:left w:val="single" w:color="auto" w:sz="4" w:space="0"/>
            </w:tcBorders>
            <w:vAlign w:val="center"/>
          </w:tcPr>
          <w:p>
            <w:pPr>
              <w:spacing w:line="240" w:lineRule="auto"/>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合同签订时间</w:t>
            </w:r>
          </w:p>
        </w:tc>
        <w:tc>
          <w:tcPr>
            <w:tcW w:w="1145" w:type="dxa"/>
            <w:tcBorders>
              <w:left w:val="single" w:color="auto" w:sz="4" w:space="0"/>
            </w:tcBorders>
            <w:vAlign w:val="center"/>
          </w:tcPr>
          <w:p>
            <w:pPr>
              <w:spacing w:line="240" w:lineRule="auto"/>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采购人评价意见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5"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5"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5"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5"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5"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5"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5"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4" w:type="dxa"/>
            <w:tcBorders>
              <w:left w:val="single" w:color="auto" w:sz="4" w:space="0"/>
              <w:righ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c>
          <w:tcPr>
            <w:tcW w:w="1145" w:type="dxa"/>
            <w:tcBorders>
              <w:left w:val="single" w:color="auto" w:sz="4" w:space="0"/>
            </w:tcBorders>
            <w:vAlign w:val="center"/>
          </w:tcPr>
          <w:p>
            <w:pPr>
              <w:spacing w:line="240" w:lineRule="auto"/>
              <w:ind w:firstLine="360"/>
              <w:rPr>
                <w:rFonts w:asciiTheme="minorEastAsia" w:hAnsiTheme="minorEastAsia" w:eastAsiaTheme="minorEastAsia" w:cstheme="minorEastAsia"/>
                <w:sz w:val="18"/>
                <w:szCs w:val="18"/>
              </w:rPr>
            </w:pPr>
          </w:p>
        </w:tc>
      </w:tr>
    </w:tbl>
    <w:p>
      <w:pPr>
        <w:pStyle w:val="9"/>
        <w:spacing w:line="24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rPr>
        <w:t>备注：</w:t>
      </w:r>
      <w:r>
        <w:rPr>
          <w:rFonts w:hint="eastAsia" w:asciiTheme="minorEastAsia" w:hAnsiTheme="minorEastAsia" w:eastAsiaTheme="minorEastAsia" w:cstheme="minorEastAsia"/>
          <w:lang w:val="en-US" w:eastAsia="zh-CN"/>
        </w:rPr>
        <w:t>附</w:t>
      </w:r>
      <w:r>
        <w:rPr>
          <w:rFonts w:hint="eastAsia" w:asciiTheme="minorEastAsia" w:hAnsiTheme="minorEastAsia" w:eastAsiaTheme="minorEastAsia" w:cstheme="minorEastAsia"/>
          <w:szCs w:val="24"/>
        </w:rPr>
        <w:t>合同</w:t>
      </w:r>
      <w:r>
        <w:rPr>
          <w:rFonts w:hint="eastAsia" w:asciiTheme="minorEastAsia" w:hAnsiTheme="minorEastAsia" w:eastAsiaTheme="minorEastAsia" w:cstheme="minorEastAsia"/>
          <w:szCs w:val="24"/>
          <w:lang w:val="en-US" w:eastAsia="zh-CN"/>
        </w:rPr>
        <w:t>或协议书</w:t>
      </w:r>
      <w:r>
        <w:rPr>
          <w:rFonts w:hint="eastAsia" w:asciiTheme="minorEastAsia" w:hAnsiTheme="minorEastAsia" w:eastAsiaTheme="minorEastAsia" w:cstheme="minorEastAsia"/>
          <w:szCs w:val="24"/>
        </w:rPr>
        <w:t>复印或扫描件（按业绩一览表所列顺序依次排列合同复印件，复印件须加盖竞标供应商公章）</w:t>
      </w:r>
    </w:p>
    <w:p>
      <w:pPr>
        <w:pStyle w:val="9"/>
        <w:spacing w:line="240" w:lineRule="auto"/>
        <w:rPr>
          <w:rFonts w:asciiTheme="minorEastAsia" w:hAnsiTheme="minorEastAsia" w:eastAsiaTheme="minorEastAsia" w:cstheme="minorEastAsia"/>
          <w:szCs w:val="24"/>
        </w:rPr>
      </w:pPr>
    </w:p>
    <w:p>
      <w:pPr>
        <w:adjustRightInd w:val="0"/>
        <w:spacing w:beforeLines="100" w:afterLines="50" w:line="240" w:lineRule="auto"/>
        <w:ind w:right="480"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供应商名称（盖章）：XXXXXXX有限公司（公章）</w:t>
      </w:r>
    </w:p>
    <w:p>
      <w:pPr>
        <w:adjustRightInd w:val="0"/>
        <w:spacing w:beforeLines="100" w:afterLines="50" w:line="240" w:lineRule="auto"/>
        <w:ind w:right="480"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法定代表人或授权代表（签字）：                </w:t>
      </w:r>
    </w:p>
    <w:p>
      <w:pPr>
        <w:spacing w:beforeLines="100" w:afterLines="50" w:line="240" w:lineRule="auto"/>
        <w:ind w:firstLine="480"/>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rPr>
        <w:t>竞标日期：</w:t>
      </w:r>
    </w:p>
    <w:p>
      <w:pPr>
        <w:pStyle w:val="6"/>
        <w:adjustRightInd w:val="0"/>
        <w:snapToGrid w:val="0"/>
        <w:spacing w:line="360" w:lineRule="auto"/>
        <w:ind w:left="0" w:leftChars="0" w:firstLine="0" w:firstLineChars="0"/>
        <w:jc w:val="both"/>
        <w:rPr>
          <w:rFonts w:hint="default" w:ascii="宋体" w:hAnsi="宋体"/>
          <w:b/>
          <w:bCs/>
          <w:sz w:val="24"/>
          <w:lang w:val="en-US" w:eastAsia="zh-CN"/>
        </w:rPr>
      </w:pPr>
    </w:p>
    <w:p>
      <w:pPr>
        <w:pStyle w:val="6"/>
        <w:adjustRightInd w:val="0"/>
        <w:snapToGrid w:val="0"/>
        <w:spacing w:line="360" w:lineRule="auto"/>
        <w:ind w:firstLine="482" w:firstLineChars="200"/>
        <w:jc w:val="center"/>
        <w:rPr>
          <w:rFonts w:hint="eastAsia" w:ascii="宋体" w:hAnsi="宋体"/>
          <w:b/>
          <w:bCs/>
          <w:sz w:val="24"/>
        </w:rPr>
      </w:pPr>
    </w:p>
    <w:p>
      <w:pPr>
        <w:pStyle w:val="6"/>
        <w:adjustRightInd w:val="0"/>
        <w:snapToGrid w:val="0"/>
        <w:spacing w:line="360" w:lineRule="auto"/>
        <w:ind w:firstLine="482" w:firstLineChars="200"/>
        <w:jc w:val="center"/>
        <w:rPr>
          <w:rFonts w:hint="eastAsia" w:ascii="宋体" w:hAnsi="宋体"/>
          <w:b/>
          <w:bCs/>
          <w:sz w:val="24"/>
        </w:rPr>
      </w:pPr>
    </w:p>
    <w:p>
      <w:pPr>
        <w:pStyle w:val="6"/>
        <w:adjustRightInd w:val="0"/>
        <w:snapToGrid w:val="0"/>
        <w:spacing w:line="360" w:lineRule="auto"/>
        <w:ind w:firstLine="482" w:firstLineChars="200"/>
        <w:jc w:val="center"/>
        <w:rPr>
          <w:rFonts w:hint="eastAsia" w:ascii="宋体" w:hAnsi="宋体"/>
          <w:b/>
          <w:bCs/>
          <w:sz w:val="24"/>
        </w:rPr>
      </w:pPr>
    </w:p>
    <w:p>
      <w:pPr>
        <w:pStyle w:val="6"/>
        <w:adjustRightInd w:val="0"/>
        <w:snapToGrid w:val="0"/>
        <w:spacing w:line="360" w:lineRule="auto"/>
        <w:ind w:firstLine="482" w:firstLineChars="200"/>
        <w:jc w:val="center"/>
        <w:rPr>
          <w:rFonts w:hint="eastAsia" w:ascii="宋体" w:hAnsi="宋体"/>
          <w:b/>
          <w:bCs/>
          <w:sz w:val="24"/>
        </w:rPr>
      </w:pPr>
    </w:p>
    <w:p>
      <w:pPr>
        <w:pStyle w:val="6"/>
        <w:adjustRightInd w:val="0"/>
        <w:snapToGrid w:val="0"/>
        <w:spacing w:line="360" w:lineRule="auto"/>
        <w:ind w:firstLine="482" w:firstLineChars="200"/>
        <w:jc w:val="center"/>
        <w:rPr>
          <w:rFonts w:hint="eastAsia" w:ascii="宋体" w:hAnsi="宋体"/>
          <w:b/>
          <w:bCs/>
          <w:sz w:val="24"/>
        </w:rPr>
      </w:pPr>
    </w:p>
    <w:p>
      <w:pPr>
        <w:pStyle w:val="6"/>
        <w:adjustRightInd w:val="0"/>
        <w:snapToGrid w:val="0"/>
        <w:spacing w:line="360" w:lineRule="auto"/>
        <w:ind w:firstLine="482" w:firstLineChars="200"/>
        <w:jc w:val="center"/>
        <w:rPr>
          <w:rFonts w:hint="eastAsia" w:ascii="宋体" w:hAnsi="宋体"/>
          <w:b/>
          <w:bCs/>
          <w:sz w:val="24"/>
        </w:rPr>
      </w:pPr>
    </w:p>
    <w:p>
      <w:pPr>
        <w:pStyle w:val="6"/>
        <w:adjustRightInd w:val="0"/>
        <w:snapToGrid w:val="0"/>
        <w:spacing w:line="360" w:lineRule="auto"/>
        <w:ind w:firstLine="482" w:firstLineChars="200"/>
        <w:jc w:val="center"/>
        <w:rPr>
          <w:rFonts w:hint="eastAsia" w:ascii="宋体" w:hAnsi="宋体"/>
          <w:b/>
          <w:bCs/>
          <w:sz w:val="24"/>
        </w:rPr>
      </w:pPr>
    </w:p>
    <w:p>
      <w:pPr>
        <w:pStyle w:val="6"/>
        <w:adjustRightInd w:val="0"/>
        <w:snapToGrid w:val="0"/>
        <w:spacing w:line="360" w:lineRule="auto"/>
        <w:ind w:firstLine="482" w:firstLineChars="200"/>
        <w:jc w:val="center"/>
        <w:rPr>
          <w:rFonts w:hint="eastAsia" w:ascii="宋体" w:hAnsi="宋体"/>
          <w:b/>
          <w:bCs/>
          <w:sz w:val="24"/>
        </w:rPr>
      </w:pPr>
    </w:p>
    <w:p>
      <w:pPr>
        <w:pStyle w:val="6"/>
        <w:adjustRightInd w:val="0"/>
        <w:snapToGrid w:val="0"/>
        <w:spacing w:line="360" w:lineRule="auto"/>
        <w:ind w:firstLine="482" w:firstLineChars="200"/>
        <w:jc w:val="both"/>
        <w:rPr>
          <w:rFonts w:hint="eastAsia" w:ascii="宋体" w:hAnsi="宋体"/>
          <w:b/>
          <w:bCs/>
          <w:sz w:val="24"/>
          <w:lang w:val="en-US" w:eastAsia="zh-CN"/>
        </w:rPr>
      </w:pPr>
      <w:r>
        <w:rPr>
          <w:rFonts w:hint="eastAsia" w:ascii="宋体" w:hAnsi="宋体"/>
          <w:b/>
          <w:bCs/>
          <w:sz w:val="24"/>
          <w:lang w:val="en-US" w:eastAsia="zh-CN"/>
        </w:rPr>
        <w:t>3.供应商认为根据竞争性磋商文件要求提供的其他资料</w:t>
      </w:r>
    </w:p>
    <w:p>
      <w:pPr>
        <w:rPr>
          <w:rFonts w:hint="eastAsia" w:ascii="宋体" w:hAnsi="宋体"/>
          <w:b/>
          <w:bCs/>
          <w:sz w:val="24"/>
          <w:lang w:val="en-US" w:eastAsia="zh-CN"/>
        </w:rPr>
      </w:pPr>
      <w:r>
        <w:rPr>
          <w:rFonts w:hint="eastAsia" w:ascii="宋体" w:hAnsi="宋体"/>
          <w:b/>
          <w:bCs/>
          <w:sz w:val="24"/>
          <w:lang w:val="en-US" w:eastAsia="zh-CN"/>
        </w:rPr>
        <w:br w:type="page"/>
      </w:r>
    </w:p>
    <w:p>
      <w:pPr>
        <w:numPr>
          <w:ilvl w:val="0"/>
          <w:numId w:val="0"/>
        </w:numPr>
        <w:autoSpaceDE w:val="0"/>
        <w:autoSpaceDN w:val="0"/>
        <w:adjustRightInd w:val="0"/>
        <w:spacing w:line="240" w:lineRule="auto"/>
        <w:jc w:val="left"/>
        <w:rPr>
          <w:rFonts w:hint="eastAsia" w:ascii="宋体" w:hAnsi="宋体" w:eastAsia="宋体" w:cs="宋体"/>
          <w:b/>
          <w:bCs/>
          <w:i w:val="0"/>
          <w:iCs w:val="0"/>
          <w:color w:val="auto"/>
          <w:kern w:val="0"/>
          <w:sz w:val="24"/>
          <w:szCs w:val="24"/>
          <w:highlight w:val="none"/>
          <w:lang w:val="en-US" w:eastAsia="zh-CN"/>
        </w:rPr>
      </w:pPr>
      <w:r>
        <w:rPr>
          <w:rFonts w:hint="eastAsia" w:ascii="宋体" w:hAnsi="宋体" w:eastAsia="宋体" w:cs="宋体"/>
          <w:b/>
          <w:bCs/>
          <w:i w:val="0"/>
          <w:iCs w:val="0"/>
          <w:color w:val="auto"/>
          <w:kern w:val="0"/>
          <w:sz w:val="24"/>
          <w:szCs w:val="24"/>
          <w:highlight w:val="none"/>
          <w:lang w:val="en-US" w:eastAsia="zh-CN"/>
        </w:rPr>
        <w:t>4.中小企业声明函</w:t>
      </w:r>
    </w:p>
    <w:p>
      <w:pPr>
        <w:pStyle w:val="7"/>
        <w:numPr>
          <w:ilvl w:val="0"/>
          <w:numId w:val="0"/>
        </w:numPr>
        <w:rPr>
          <w:rFonts w:hint="eastAsia" w:ascii="宋体" w:hAnsi="宋体" w:eastAsia="宋体" w:cs="宋体"/>
          <w:i w:val="0"/>
          <w:iCs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b/>
          <w:i w:val="0"/>
          <w:iCs w:val="0"/>
          <w:color w:val="auto"/>
          <w:kern w:val="0"/>
          <w:sz w:val="24"/>
          <w:szCs w:val="24"/>
          <w:lang w:val="en-US" w:eastAsia="zh-CN" w:bidi="ar"/>
        </w:rPr>
        <w:t>中小企业声明函（服务）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olor w:val="auto"/>
          <w:kern w:val="0"/>
          <w:sz w:val="24"/>
          <w:szCs w:val="24"/>
          <w:u w:val="single"/>
          <w:lang w:val="en-US" w:eastAsia="zh-CN" w:bidi="ar"/>
        </w:rPr>
        <w:t>（单位名称）</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（项目名称）</w:t>
      </w:r>
      <w:r>
        <w:rPr>
          <w:rFonts w:hint="eastAsia" w:ascii="宋体" w:hAnsi="宋体" w:eastAsia="宋体" w:cs="宋体"/>
          <w:i w:val="0"/>
          <w:iCs w:val="0"/>
          <w:color w:val="auto"/>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；承建（承接）企业为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，从业人员人，营业收入为万元，资产总额为万元¹，属于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；承建（承接）企业为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，从业人员人，营业收入为万元，资产总额为万元，属于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本企业对上述声明内容的真实性负责。如有虚假，将依法承担相应责任。</w:t>
      </w:r>
    </w:p>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                            响应人（盖章）：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 xml:space="preserve">                  日期：</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hint="eastAsia" w:ascii="宋体" w:hAnsi="宋体" w:eastAsia="宋体" w:cs="宋体"/>
          <w:i w:val="0"/>
          <w:iCs w:val="0"/>
          <w:color w:val="auto"/>
          <w:kern w:val="0"/>
          <w:sz w:val="24"/>
          <w:szCs w:val="24"/>
          <w:u w:val="single"/>
          <w:lang w:val="en-US" w:eastAsia="zh-CN" w:bidi="ar"/>
        </w:rPr>
      </w:pPr>
      <w:r>
        <w:rPr>
          <w:rFonts w:hint="eastAsia" w:ascii="宋体" w:hAnsi="宋体" w:eastAsia="宋体" w:cs="宋体"/>
          <w:i w:val="0"/>
          <w:iCs w:val="0"/>
          <w:color w:val="auto"/>
          <w:kern w:val="0"/>
          <w:sz w:val="24"/>
          <w:szCs w:val="24"/>
          <w:u w:val="single"/>
          <w:lang w:val="en-US" w:eastAsia="zh-CN" w:bidi="ar"/>
        </w:rPr>
        <w:t xml:space="preserve">                                                                     </w:t>
      </w:r>
    </w:p>
    <w:p>
      <w:pPr>
        <w:spacing w:line="360" w:lineRule="auto"/>
        <w:rPr>
          <w:rFonts w:hint="eastAsia" w:ascii="宋体" w:hAnsi="宋体" w:eastAsia="宋体" w:cs="宋体"/>
          <w:i w:val="0"/>
          <w:iCs w:val="0"/>
          <w:color w:val="auto"/>
          <w:sz w:val="21"/>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i w:val="0"/>
          <w:iCs w:val="0"/>
          <w:color w:val="auto"/>
          <w:kern w:val="0"/>
          <w:sz w:val="21"/>
          <w:szCs w:val="21"/>
          <w:lang w:val="en-US" w:eastAsia="zh-CN" w:bidi="ar"/>
        </w:rPr>
        <w:t>从业人员、营业收入、资产总额填报上一年度数据，无上一年度数据的新成立企业可不填</w:t>
      </w:r>
    </w:p>
    <w:bookmarkEnd w:id="111"/>
    <w:bookmarkEnd w:id="112"/>
    <w:bookmarkEnd w:id="113"/>
    <w:p>
      <w:pPr>
        <w:pStyle w:val="25"/>
        <w:jc w:val="center"/>
        <w:rPr>
          <w:rFonts w:hint="default" w:ascii="宋体" w:eastAsia="宋体"/>
          <w:lang w:val="en-US" w:eastAsia="zh-CN"/>
        </w:rPr>
      </w:pPr>
      <w:bookmarkStart w:id="139" w:name="_Toc33779490"/>
      <w:bookmarkStart w:id="140" w:name="_Toc31327"/>
      <w:bookmarkStart w:id="141" w:name="_Toc3979"/>
      <w:r>
        <w:rPr>
          <w:rFonts w:hint="eastAsia" w:ascii="宋体" w:eastAsia="宋体"/>
        </w:rPr>
        <w:t>第</w:t>
      </w:r>
      <w:r>
        <w:rPr>
          <w:rFonts w:hint="eastAsia" w:ascii="宋体" w:eastAsia="宋体"/>
          <w:lang w:val="en-US" w:eastAsia="zh-CN"/>
        </w:rPr>
        <w:t>四</w:t>
      </w:r>
      <w:r>
        <w:rPr>
          <w:rFonts w:hint="eastAsia" w:ascii="宋体" w:eastAsia="宋体"/>
        </w:rPr>
        <w:t xml:space="preserve">章 </w:t>
      </w:r>
      <w:bookmarkEnd w:id="139"/>
      <w:r>
        <w:rPr>
          <w:rFonts w:hint="eastAsia" w:ascii="宋体" w:eastAsia="宋体"/>
          <w:lang w:val="en-US" w:eastAsia="zh-CN"/>
        </w:rPr>
        <w:t>评审办法</w:t>
      </w:r>
      <w:bookmarkEnd w:id="140"/>
      <w:bookmarkEnd w:id="141"/>
    </w:p>
    <w:p>
      <w:pPr>
        <w:pStyle w:val="4"/>
        <w:numPr>
          <w:ilvl w:val="0"/>
          <w:numId w:val="0"/>
        </w:numPr>
        <w:rPr>
          <w:rFonts w:hint="eastAsia" w:ascii="宋体" w:hAnsi="宋体"/>
        </w:rPr>
      </w:pPr>
      <w:bookmarkStart w:id="142" w:name="_Toc82577314"/>
      <w:bookmarkStart w:id="143" w:name="_Toc88034138"/>
      <w:bookmarkStart w:id="144" w:name="_Toc33779491"/>
      <w:bookmarkStart w:id="145" w:name="_Toc16316"/>
      <w:bookmarkStart w:id="146" w:name="_Toc204077254"/>
      <w:bookmarkStart w:id="147" w:name="_Toc34472840"/>
      <w:bookmarkStart w:id="148" w:name="_Toc36265878"/>
      <w:bookmarkStart w:id="149" w:name="_Toc36355055"/>
      <w:bookmarkStart w:id="150" w:name="_Toc41899292"/>
      <w:bookmarkStart w:id="151" w:name="_Toc36265828"/>
      <w:r>
        <w:rPr>
          <w:rFonts w:hint="eastAsia" w:ascii="宋体" w:hAnsi="宋体"/>
        </w:rPr>
        <w:t>一、总则</w:t>
      </w:r>
      <w:bookmarkEnd w:id="142"/>
      <w:bookmarkEnd w:id="143"/>
      <w:bookmarkEnd w:id="144"/>
      <w:bookmarkEnd w:id="145"/>
      <w:bookmarkEnd w:id="146"/>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1、遵循竞争优选、公正、公开、科学合理、规范性与灵活性相结合的原则，结合项目具体情况制定如下评审办法及操作程序，并严格执行。</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2.评审原则</w:t>
      </w:r>
    </w:p>
    <w:p>
      <w:pPr>
        <w:spacing w:line="360" w:lineRule="auto"/>
        <w:ind w:firstLine="480" w:firstLineChars="200"/>
        <w:rPr>
          <w:rFonts w:ascii="宋体" w:hAnsi="宋体"/>
          <w:sz w:val="24"/>
        </w:rPr>
      </w:pPr>
      <w:r>
        <w:rPr>
          <w:rFonts w:hint="eastAsia" w:ascii="宋体" w:hAnsi="宋体"/>
          <w:sz w:val="24"/>
        </w:rPr>
        <w:t>2.1本次</w:t>
      </w:r>
      <w:r>
        <w:rPr>
          <w:rFonts w:hint="eastAsia" w:ascii="宋体" w:hAnsi="宋体"/>
          <w:sz w:val="24"/>
          <w:lang w:val="en-US" w:eastAsia="zh-CN"/>
        </w:rPr>
        <w:t>磋商小组</w:t>
      </w:r>
      <w:r>
        <w:rPr>
          <w:rFonts w:hint="eastAsia" w:ascii="宋体" w:hAnsi="宋体"/>
          <w:sz w:val="24"/>
        </w:rPr>
        <w:t>由</w:t>
      </w:r>
      <w:r>
        <w:rPr>
          <w:rFonts w:hint="eastAsia" w:ascii="宋体" w:hAnsi="宋体"/>
          <w:sz w:val="24"/>
          <w:lang w:eastAsia="zh-CN"/>
        </w:rPr>
        <w:t>采购人</w:t>
      </w:r>
      <w:r>
        <w:rPr>
          <w:rFonts w:hint="eastAsia" w:ascii="宋体" w:hAnsi="宋体"/>
          <w:sz w:val="24"/>
        </w:rPr>
        <w:t>组成</w:t>
      </w:r>
      <w:r>
        <w:rPr>
          <w:rFonts w:hint="eastAsia" w:ascii="宋体" w:hAnsi="宋体"/>
          <w:sz w:val="24"/>
          <w:lang w:eastAsia="zh-CN"/>
        </w:rPr>
        <w:t>，</w:t>
      </w:r>
      <w:r>
        <w:rPr>
          <w:rFonts w:hint="eastAsia" w:ascii="宋体" w:hAnsi="宋体"/>
          <w:sz w:val="24"/>
          <w:lang w:val="en-US" w:eastAsia="zh-CN"/>
        </w:rPr>
        <w:t>人数为3人或以上单数</w:t>
      </w:r>
      <w:r>
        <w:rPr>
          <w:rFonts w:hint="eastAsia" w:ascii="宋体" w:hAnsi="宋体"/>
          <w:sz w:val="24"/>
        </w:rPr>
        <w:t>。</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3.</w:t>
      </w:r>
      <w:r>
        <w:rPr>
          <w:rFonts w:hint="eastAsia" w:ascii="宋体" w:hAnsi="宋体"/>
          <w:sz w:val="24"/>
          <w:lang w:eastAsia="zh-CN"/>
        </w:rPr>
        <w:t>响应文件</w:t>
      </w:r>
      <w:r>
        <w:rPr>
          <w:rFonts w:hint="eastAsia" w:ascii="宋体" w:hAnsi="宋体"/>
          <w:sz w:val="24"/>
        </w:rPr>
        <w:t>的澄清</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为了有助于</w:t>
      </w:r>
      <w:r>
        <w:rPr>
          <w:rFonts w:hint="eastAsia" w:ascii="宋体" w:hAnsi="宋体"/>
          <w:sz w:val="24"/>
          <w:lang w:eastAsia="zh-CN"/>
        </w:rPr>
        <w:t>响应文件</w:t>
      </w:r>
      <w:r>
        <w:rPr>
          <w:rFonts w:hint="eastAsia" w:ascii="宋体" w:hAnsi="宋体"/>
          <w:sz w:val="24"/>
        </w:rPr>
        <w:t>的审查、评价和比较，</w:t>
      </w:r>
      <w:r>
        <w:rPr>
          <w:rFonts w:hint="eastAsia" w:ascii="宋体" w:hAnsi="宋体"/>
          <w:sz w:val="24"/>
          <w:lang w:eastAsia="zh-CN"/>
        </w:rPr>
        <w:t>磋商小组</w:t>
      </w:r>
      <w:r>
        <w:rPr>
          <w:rFonts w:hint="eastAsia" w:ascii="宋体" w:hAnsi="宋体"/>
          <w:sz w:val="24"/>
        </w:rPr>
        <w:t>可以用书面形式要求</w:t>
      </w:r>
      <w:r>
        <w:rPr>
          <w:rFonts w:hint="eastAsia" w:ascii="宋体" w:hAnsi="宋体"/>
          <w:sz w:val="24"/>
          <w:lang w:eastAsia="zh-CN"/>
        </w:rPr>
        <w:t>响应人</w:t>
      </w:r>
      <w:r>
        <w:rPr>
          <w:rFonts w:hint="eastAsia" w:ascii="宋体" w:hAnsi="宋体"/>
          <w:sz w:val="24"/>
        </w:rPr>
        <w:t>对</w:t>
      </w:r>
      <w:r>
        <w:rPr>
          <w:rFonts w:hint="eastAsia" w:ascii="宋体" w:hAnsi="宋体"/>
          <w:sz w:val="24"/>
          <w:lang w:eastAsia="zh-CN"/>
        </w:rPr>
        <w:t>响应文件</w:t>
      </w:r>
      <w:r>
        <w:rPr>
          <w:rFonts w:hint="eastAsia" w:ascii="宋体" w:hAnsi="宋体"/>
          <w:sz w:val="24"/>
        </w:rPr>
        <w:t>含义不明确的内容作必要的澄清或说明．有关澄清说明与答复，</w:t>
      </w:r>
      <w:r>
        <w:rPr>
          <w:rFonts w:hint="eastAsia" w:ascii="宋体" w:hAnsi="宋体"/>
          <w:sz w:val="24"/>
          <w:lang w:eastAsia="zh-CN"/>
        </w:rPr>
        <w:t>响应人</w:t>
      </w:r>
      <w:r>
        <w:rPr>
          <w:rFonts w:hint="eastAsia" w:ascii="宋体" w:hAnsi="宋体"/>
          <w:sz w:val="24"/>
        </w:rPr>
        <w:t>应以书面形式进行，但对</w:t>
      </w:r>
      <w:r>
        <w:rPr>
          <w:rFonts w:hint="eastAsia" w:ascii="宋体" w:hAnsi="宋体"/>
          <w:sz w:val="24"/>
          <w:lang w:val="en-US" w:eastAsia="zh-CN"/>
        </w:rPr>
        <w:t>磋商</w:t>
      </w:r>
      <w:r>
        <w:rPr>
          <w:rFonts w:hint="eastAsia" w:ascii="宋体" w:hAnsi="宋体"/>
          <w:sz w:val="24"/>
        </w:rPr>
        <w:t>实质性的内容不得更改。凡属于</w:t>
      </w:r>
      <w:r>
        <w:rPr>
          <w:rFonts w:hint="eastAsia" w:ascii="宋体" w:hAnsi="宋体"/>
          <w:sz w:val="24"/>
          <w:lang w:eastAsia="zh-CN"/>
        </w:rPr>
        <w:t>磋商小组</w:t>
      </w:r>
      <w:r>
        <w:rPr>
          <w:rFonts w:hint="eastAsia" w:ascii="宋体" w:hAnsi="宋体"/>
          <w:sz w:val="24"/>
        </w:rPr>
        <w:t>在</w:t>
      </w:r>
      <w:r>
        <w:rPr>
          <w:rFonts w:hint="eastAsia" w:ascii="宋体" w:hAnsi="宋体"/>
          <w:sz w:val="24"/>
          <w:lang w:val="en-US" w:eastAsia="zh-CN"/>
        </w:rPr>
        <w:t>磋商</w:t>
      </w:r>
      <w:r>
        <w:rPr>
          <w:rFonts w:hint="eastAsia" w:ascii="宋体" w:hAnsi="宋体"/>
          <w:sz w:val="24"/>
        </w:rPr>
        <w:t>中发现的算术错误进行核实的修改不在此列。</w:t>
      </w:r>
    </w:p>
    <w:p>
      <w:pPr>
        <w:pStyle w:val="11"/>
        <w:adjustRightInd w:val="0"/>
        <w:snapToGrid w:val="0"/>
        <w:spacing w:line="360" w:lineRule="auto"/>
        <w:ind w:firstLine="540"/>
        <w:rPr>
          <w:rFonts w:hint="eastAsia" w:hAnsi="宋体"/>
          <w:sz w:val="24"/>
        </w:rPr>
      </w:pPr>
      <w:r>
        <w:rPr>
          <w:rFonts w:hint="eastAsia" w:hAnsi="宋体"/>
          <w:sz w:val="24"/>
        </w:rPr>
        <w:t>4.评审过程的保密</w:t>
      </w:r>
    </w:p>
    <w:p>
      <w:pPr>
        <w:pStyle w:val="11"/>
        <w:adjustRightInd w:val="0"/>
        <w:snapToGrid w:val="0"/>
        <w:spacing w:line="360" w:lineRule="auto"/>
        <w:ind w:firstLine="540"/>
        <w:rPr>
          <w:rFonts w:hint="eastAsia" w:hAnsi="宋体"/>
          <w:sz w:val="24"/>
        </w:rPr>
      </w:pPr>
      <w:r>
        <w:rPr>
          <w:rFonts w:hint="eastAsia" w:hAnsi="宋体"/>
          <w:sz w:val="24"/>
        </w:rPr>
        <w:t>4.1在</w:t>
      </w:r>
      <w:r>
        <w:rPr>
          <w:rFonts w:hint="eastAsia" w:hAnsi="宋体"/>
          <w:sz w:val="24"/>
          <w:lang w:eastAsia="zh-CN"/>
        </w:rPr>
        <w:t>响应文件</w:t>
      </w:r>
      <w:r>
        <w:rPr>
          <w:rFonts w:hint="eastAsia" w:hAnsi="宋体"/>
          <w:sz w:val="24"/>
        </w:rPr>
        <w:t>的评审和比较以及授予合同的过程中，</w:t>
      </w:r>
      <w:r>
        <w:rPr>
          <w:rFonts w:hint="eastAsia" w:hAnsi="宋体"/>
          <w:sz w:val="24"/>
          <w:lang w:eastAsia="zh-CN"/>
        </w:rPr>
        <w:t>响应人</w:t>
      </w:r>
      <w:r>
        <w:rPr>
          <w:rFonts w:hint="eastAsia" w:hAnsi="宋体"/>
          <w:sz w:val="24"/>
        </w:rPr>
        <w:t>如试图向</w:t>
      </w:r>
      <w:r>
        <w:rPr>
          <w:rFonts w:hint="eastAsia" w:hAnsi="宋体"/>
          <w:sz w:val="24"/>
          <w:lang w:eastAsia="zh-CN"/>
        </w:rPr>
        <w:t>采购人</w:t>
      </w:r>
      <w:r>
        <w:rPr>
          <w:rFonts w:hint="eastAsia" w:hAnsi="宋体"/>
          <w:sz w:val="24"/>
        </w:rPr>
        <w:t>和</w:t>
      </w:r>
      <w:r>
        <w:rPr>
          <w:rFonts w:hint="eastAsia" w:hAnsi="宋体"/>
          <w:sz w:val="24"/>
          <w:lang w:eastAsia="zh-CN"/>
        </w:rPr>
        <w:t>磋商小组人员</w:t>
      </w:r>
      <w:r>
        <w:rPr>
          <w:rFonts w:hint="eastAsia" w:hAnsi="宋体"/>
          <w:sz w:val="24"/>
        </w:rPr>
        <w:t>施加影响的任何行为，都将会导致其</w:t>
      </w:r>
      <w:r>
        <w:rPr>
          <w:rFonts w:hint="eastAsia" w:hAnsi="宋体"/>
          <w:sz w:val="24"/>
          <w:lang w:val="en-US" w:eastAsia="zh-CN"/>
        </w:rPr>
        <w:t>响应</w:t>
      </w:r>
      <w:r>
        <w:rPr>
          <w:rFonts w:hint="eastAsia" w:hAnsi="宋体"/>
          <w:sz w:val="24"/>
        </w:rPr>
        <w:t>被拒绝。</w:t>
      </w:r>
    </w:p>
    <w:p>
      <w:pPr>
        <w:pStyle w:val="11"/>
        <w:adjustRightInd w:val="0"/>
        <w:snapToGrid w:val="0"/>
        <w:spacing w:line="360" w:lineRule="auto"/>
        <w:ind w:firstLine="540"/>
        <w:rPr>
          <w:rFonts w:hint="eastAsia" w:hAnsi="宋体"/>
          <w:sz w:val="24"/>
        </w:rPr>
      </w:pPr>
      <w:r>
        <w:rPr>
          <w:rFonts w:hint="eastAsia" w:hAnsi="宋体"/>
          <w:sz w:val="24"/>
        </w:rPr>
        <w:t>4.2</w:t>
      </w:r>
      <w:r>
        <w:rPr>
          <w:rFonts w:hint="eastAsia" w:hAnsi="宋体"/>
          <w:sz w:val="24"/>
          <w:lang w:eastAsia="zh-CN"/>
        </w:rPr>
        <w:t>磋商小组</w:t>
      </w:r>
      <w:r>
        <w:rPr>
          <w:rFonts w:hint="eastAsia" w:hAnsi="宋体"/>
          <w:sz w:val="24"/>
        </w:rPr>
        <w:t>成员或者与</w:t>
      </w:r>
      <w:r>
        <w:rPr>
          <w:rFonts w:hint="eastAsia" w:hAnsi="宋体"/>
          <w:sz w:val="24"/>
          <w:lang w:eastAsia="zh-CN"/>
        </w:rPr>
        <w:t>竞磋</w:t>
      </w:r>
      <w:r>
        <w:rPr>
          <w:rFonts w:hint="eastAsia" w:hAnsi="宋体"/>
          <w:sz w:val="24"/>
        </w:rPr>
        <w:t>活动有关的工作人员向外透露对</w:t>
      </w:r>
      <w:r>
        <w:rPr>
          <w:rFonts w:hint="eastAsia" w:hAnsi="宋体"/>
          <w:sz w:val="24"/>
          <w:lang w:eastAsia="zh-CN"/>
        </w:rPr>
        <w:t>响应文件</w:t>
      </w:r>
      <w:r>
        <w:rPr>
          <w:rFonts w:hint="eastAsia" w:hAnsi="宋体"/>
          <w:sz w:val="24"/>
        </w:rPr>
        <w:t>的评审和比较、候选方案的推荐以及与评审有关的其他情况的，将依法承担相应责任。</w:t>
      </w:r>
    </w:p>
    <w:p>
      <w:pPr>
        <w:pStyle w:val="4"/>
        <w:numPr>
          <w:ilvl w:val="0"/>
          <w:numId w:val="0"/>
        </w:numPr>
        <w:rPr>
          <w:rFonts w:hint="eastAsia" w:ascii="宋体" w:hAnsi="宋体"/>
        </w:rPr>
      </w:pPr>
      <w:bookmarkStart w:id="152" w:name="_Toc88034139"/>
      <w:bookmarkStart w:id="153" w:name="_Toc33779492"/>
      <w:bookmarkStart w:id="154" w:name="_Toc29228"/>
      <w:bookmarkStart w:id="155" w:name="_Toc82577315"/>
      <w:bookmarkStart w:id="156" w:name="_Toc204077255"/>
      <w:r>
        <w:rPr>
          <w:rFonts w:hint="eastAsia" w:ascii="宋体" w:hAnsi="宋体"/>
        </w:rPr>
        <w:t>二、评审程序</w:t>
      </w:r>
      <w:bookmarkEnd w:id="152"/>
      <w:bookmarkEnd w:id="153"/>
      <w:bookmarkEnd w:id="154"/>
      <w:bookmarkEnd w:id="155"/>
      <w:bookmarkEnd w:id="156"/>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1、评审办法</w:t>
      </w:r>
    </w:p>
    <w:p>
      <w:pPr>
        <w:spacing w:line="360" w:lineRule="auto"/>
        <w:ind w:firstLine="480"/>
        <w:rPr>
          <w:rFonts w:ascii="宋体" w:hAnsi="宋体" w:cs="宋体"/>
          <w:sz w:val="24"/>
        </w:rPr>
      </w:pPr>
      <w:r>
        <w:rPr>
          <w:rFonts w:hint="eastAsia" w:ascii="宋体" w:hAnsi="宋体"/>
          <w:sz w:val="24"/>
        </w:rPr>
        <w:t>本项</w:t>
      </w:r>
      <w:r>
        <w:rPr>
          <w:rFonts w:hint="eastAsia" w:ascii="宋体" w:hAnsi="宋体" w:cs="宋体"/>
          <w:sz w:val="24"/>
        </w:rPr>
        <w:t>项目采用</w:t>
      </w:r>
      <w:r>
        <w:rPr>
          <w:rFonts w:hint="eastAsia" w:ascii="宋体" w:hAnsi="宋体" w:cs="宋体"/>
          <w:sz w:val="24"/>
          <w:u w:val="single"/>
        </w:rPr>
        <w:t xml:space="preserve">  综合评分法  </w:t>
      </w:r>
      <w:r>
        <w:rPr>
          <w:rFonts w:hint="eastAsia" w:ascii="宋体" w:hAnsi="宋体" w:cs="宋体"/>
          <w:sz w:val="24"/>
        </w:rPr>
        <w:t>进行评审。</w:t>
      </w:r>
    </w:p>
    <w:p>
      <w:pPr>
        <w:spacing w:line="360" w:lineRule="auto"/>
        <w:ind w:firstLine="480"/>
        <w:rPr>
          <w:rFonts w:ascii="宋体" w:hAnsi="宋体" w:cs="宋体"/>
          <w:sz w:val="24"/>
        </w:rPr>
      </w:pPr>
      <w:r>
        <w:rPr>
          <w:rFonts w:hint="eastAsia" w:ascii="宋体" w:hAnsi="宋体" w:cs="宋体"/>
          <w:sz w:val="24"/>
        </w:rPr>
        <w:t>综合评分法，是指在满足</w:t>
      </w:r>
      <w:r>
        <w:rPr>
          <w:rFonts w:hint="eastAsia" w:ascii="宋体" w:hAnsi="宋体"/>
          <w:sz w:val="24"/>
        </w:rPr>
        <w:fldChar w:fldCharType="begin"/>
      </w:r>
      <w:r>
        <w:rPr>
          <w:rFonts w:hint="eastAsia" w:ascii="宋体" w:hAnsi="宋体" w:cs="宋体"/>
          <w:sz w:val="24"/>
        </w:rPr>
        <w:instrText xml:space="preserve"> HYPERLINK "http://www.baidu.com/s?wd=%E6%8B%9B%E6%A0%87%E6%96%87%E4%BB%B6&amp;hl_tag=textlink&amp;tn=SE_hldp01350_v6v6zkg6" \t "_blank" </w:instrText>
      </w:r>
      <w:r>
        <w:rPr>
          <w:rFonts w:hint="eastAsia" w:ascii="宋体" w:hAnsi="宋体"/>
          <w:sz w:val="24"/>
        </w:rPr>
        <w:fldChar w:fldCharType="separate"/>
      </w:r>
      <w:r>
        <w:rPr>
          <w:rStyle w:val="21"/>
          <w:rFonts w:hint="eastAsia" w:ascii="宋体" w:hAnsi="宋体" w:cs="宋体"/>
          <w:color w:val="auto"/>
          <w:sz w:val="24"/>
        </w:rPr>
        <w:t>响应文件</w:t>
      </w:r>
      <w:r>
        <w:rPr>
          <w:rFonts w:hint="eastAsia" w:ascii="宋体" w:hAnsi="宋体" w:cs="宋体"/>
          <w:sz w:val="24"/>
        </w:rPr>
        <w:fldChar w:fldCharType="end"/>
      </w:r>
      <w:r>
        <w:rPr>
          <w:rFonts w:hint="eastAsia" w:ascii="宋体" w:hAnsi="宋体" w:cs="宋体"/>
          <w:sz w:val="24"/>
        </w:rPr>
        <w:t>实质性要求的前提下，磋商小组按照</w:t>
      </w:r>
      <w:r>
        <w:rPr>
          <w:rFonts w:hint="eastAsia" w:ascii="宋体" w:hAnsi="宋体" w:cs="宋体"/>
          <w:sz w:val="24"/>
        </w:rPr>
        <w:fldChar w:fldCharType="begin"/>
      </w:r>
      <w:r>
        <w:rPr>
          <w:rFonts w:hint="eastAsia" w:ascii="宋体" w:hAnsi="宋体" w:cs="宋体"/>
          <w:sz w:val="24"/>
        </w:rPr>
        <w:instrText xml:space="preserve"> HYPERLINK "http://www.baidu.com/s?wd=%E6%8B%9B%E6%A0%87%E6%96%87%E4%BB%B6&amp;hl_tag=textlink&amp;tn=SE_hldp01350_v6v6zkg6" \t "_blank" </w:instrText>
      </w:r>
      <w:r>
        <w:rPr>
          <w:rFonts w:hint="eastAsia" w:ascii="宋体" w:hAnsi="宋体" w:cs="宋体"/>
          <w:sz w:val="24"/>
        </w:rPr>
        <w:fldChar w:fldCharType="separate"/>
      </w:r>
      <w:r>
        <w:rPr>
          <w:rFonts w:hint="eastAsia" w:ascii="宋体" w:hAnsi="宋体" w:cs="宋体"/>
          <w:sz w:val="24"/>
          <w:lang w:val="en-US" w:eastAsia="zh-CN"/>
        </w:rPr>
        <w:t>竞争性磋商</w:t>
      </w:r>
      <w:r>
        <w:rPr>
          <w:rFonts w:hint="eastAsia" w:ascii="宋体" w:hAnsi="宋体" w:cs="宋体"/>
          <w:sz w:val="24"/>
        </w:rPr>
        <w:t>文件</w:t>
      </w:r>
      <w:r>
        <w:rPr>
          <w:rFonts w:hint="eastAsia" w:ascii="宋体" w:hAnsi="宋体" w:cs="宋体"/>
          <w:sz w:val="24"/>
        </w:rPr>
        <w:fldChar w:fldCharType="end"/>
      </w:r>
      <w:r>
        <w:rPr>
          <w:rFonts w:hint="eastAsia" w:ascii="宋体" w:hAnsi="宋体" w:cs="宋体"/>
          <w:sz w:val="24"/>
        </w:rPr>
        <w:t>中规定的各项评审因素及其分值进行综合评分后，以评分从高到低的顺序推荐1至3家供应商作为</w:t>
      </w:r>
      <w:r>
        <w:rPr>
          <w:rFonts w:hint="eastAsia" w:ascii="宋体" w:hAnsi="宋体" w:cs="宋体"/>
          <w:sz w:val="24"/>
          <w:lang w:val="en-US" w:eastAsia="zh-CN"/>
        </w:rPr>
        <w:t>成交</w:t>
      </w:r>
      <w:r>
        <w:rPr>
          <w:rFonts w:hint="eastAsia" w:ascii="宋体" w:hAnsi="宋体" w:cs="宋体"/>
          <w:sz w:val="24"/>
        </w:rPr>
        <w:t>候选供应商的评标方法</w:t>
      </w:r>
      <w:r>
        <w:rPr>
          <w:rFonts w:hint="eastAsia" w:ascii="宋体" w:hAnsi="宋体" w:cs="宋体"/>
          <w:sz w:val="24"/>
          <w:lang w:eastAsia="zh-CN"/>
        </w:rPr>
        <w:t>，</w:t>
      </w:r>
      <w:r>
        <w:rPr>
          <w:rFonts w:hint="eastAsia" w:ascii="宋体" w:hAnsi="宋体" w:cs="宋体"/>
          <w:sz w:val="24"/>
          <w:lang w:val="en-US" w:eastAsia="zh-CN"/>
        </w:rPr>
        <w:t>排名第一的为成交人</w:t>
      </w:r>
      <w:r>
        <w:rPr>
          <w:rFonts w:hint="eastAsia" w:ascii="宋体" w:hAnsi="宋体" w:cs="宋体"/>
          <w:sz w:val="24"/>
        </w:rPr>
        <w:t>。</w:t>
      </w:r>
    </w:p>
    <w:p>
      <w:pPr>
        <w:spacing w:line="360" w:lineRule="auto"/>
        <w:ind w:firstLine="424" w:firstLineChars="177"/>
        <w:rPr>
          <w:rFonts w:ascii="宋体" w:hAnsi="宋体" w:cs="宋体"/>
          <w:bCs/>
          <w:sz w:val="24"/>
        </w:rPr>
      </w:pPr>
      <w:r>
        <w:rPr>
          <w:rStyle w:val="19"/>
          <w:rFonts w:hint="eastAsia" w:ascii="宋体" w:hAnsi="宋体" w:cs="宋体"/>
          <w:sz w:val="24"/>
        </w:rPr>
        <w:t>二、</w:t>
      </w:r>
      <w:r>
        <w:rPr>
          <w:rFonts w:hint="eastAsia" w:ascii="宋体" w:hAnsi="宋体" w:cs="宋体"/>
          <w:bCs/>
          <w:sz w:val="24"/>
        </w:rPr>
        <w:t>评分因素</w:t>
      </w:r>
    </w:p>
    <w:p>
      <w:pPr>
        <w:spacing w:line="360" w:lineRule="auto"/>
        <w:ind w:firstLine="480"/>
        <w:rPr>
          <w:rFonts w:ascii="宋体" w:hAnsi="宋体" w:cs="宋体"/>
          <w:sz w:val="24"/>
        </w:rPr>
      </w:pPr>
      <w:r>
        <w:rPr>
          <w:rFonts w:hint="eastAsia" w:ascii="宋体" w:hAnsi="宋体" w:cs="宋体"/>
          <w:sz w:val="24"/>
        </w:rPr>
        <w:t>评分的主要因素分为价格因素、技术因素和商务因素。评分因素详见评分表。评标分值保留至两位小数。磋商小组依照评分表对每个有效</w:t>
      </w:r>
      <w:r>
        <w:rPr>
          <w:rFonts w:hint="eastAsia" w:ascii="宋体" w:hAnsi="宋体" w:cs="宋体"/>
          <w:sz w:val="24"/>
          <w:lang w:val="en-US" w:eastAsia="zh-CN"/>
        </w:rPr>
        <w:t>响应人</w:t>
      </w:r>
      <w:r>
        <w:rPr>
          <w:rFonts w:hint="eastAsia" w:ascii="宋体" w:hAnsi="宋体" w:cs="宋体"/>
          <w:sz w:val="24"/>
        </w:rPr>
        <w:t>的响应文件进行独立评审、打分。</w:t>
      </w:r>
    </w:p>
    <w:p>
      <w:pPr>
        <w:tabs>
          <w:tab w:val="left" w:pos="5400"/>
        </w:tabs>
        <w:adjustRightInd w:val="0"/>
        <w:snapToGrid w:val="0"/>
        <w:spacing w:line="360" w:lineRule="auto"/>
        <w:ind w:firstLine="480" w:firstLineChars="200"/>
        <w:jc w:val="left"/>
        <w:rPr>
          <w:rFonts w:hint="eastAsia" w:ascii="宋体" w:hAnsi="宋体"/>
          <w:sz w:val="24"/>
        </w:rPr>
      </w:pP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lang w:eastAsia="zh-CN"/>
        </w:rPr>
        <w:t>响应文件</w:t>
      </w:r>
      <w:r>
        <w:rPr>
          <w:rFonts w:hint="eastAsia" w:ascii="宋体" w:hAnsi="宋体"/>
          <w:sz w:val="24"/>
        </w:rPr>
        <w:t>有下述重大偏差情形之一的，为未能对</w:t>
      </w:r>
      <w:r>
        <w:rPr>
          <w:rFonts w:hint="eastAsia" w:ascii="宋体" w:hAnsi="宋体"/>
          <w:sz w:val="24"/>
          <w:lang w:eastAsia="zh-CN"/>
        </w:rPr>
        <w:t>竞争性磋商</w:t>
      </w:r>
      <w:r>
        <w:rPr>
          <w:rFonts w:hint="eastAsia" w:ascii="宋体" w:hAnsi="宋体"/>
          <w:sz w:val="24"/>
        </w:rPr>
        <w:t>文件作出实质性响应，按废标处理：</w:t>
      </w:r>
    </w:p>
    <w:p>
      <w:pPr>
        <w:tabs>
          <w:tab w:val="left" w:pos="5400"/>
        </w:tabs>
        <w:adjustRightInd w:val="0"/>
        <w:snapToGrid w:val="0"/>
        <w:spacing w:line="360" w:lineRule="auto"/>
        <w:ind w:firstLine="480" w:firstLineChars="200"/>
        <w:jc w:val="left"/>
        <w:rPr>
          <w:rFonts w:hint="eastAsia" w:ascii="宋体" w:hAnsi="宋体" w:eastAsia="宋体" w:cs="Times New Roman"/>
          <w:sz w:val="24"/>
          <w:lang w:eastAsia="zh-CN"/>
        </w:rPr>
      </w:pPr>
      <w:r>
        <w:rPr>
          <w:rFonts w:hint="eastAsia" w:ascii="宋体" w:hAnsi="宋体"/>
          <w:sz w:val="24"/>
        </w:rPr>
        <w:t>（一）</w:t>
      </w:r>
      <w:r>
        <w:rPr>
          <w:rFonts w:hint="eastAsia" w:ascii="宋体" w:hAnsi="宋体"/>
          <w:sz w:val="24"/>
          <w:lang w:eastAsia="zh-CN"/>
        </w:rPr>
        <w:t>响应文件</w:t>
      </w:r>
      <w:r>
        <w:rPr>
          <w:rFonts w:hint="eastAsia" w:ascii="宋体" w:hAnsi="宋体"/>
          <w:sz w:val="24"/>
        </w:rPr>
        <w:t>上没有按照</w:t>
      </w:r>
      <w:r>
        <w:rPr>
          <w:rFonts w:hint="eastAsia" w:ascii="宋体" w:hAnsi="宋体"/>
          <w:sz w:val="24"/>
          <w:lang w:eastAsia="zh-CN"/>
        </w:rPr>
        <w:t>竞争性磋商</w:t>
      </w:r>
      <w:r>
        <w:rPr>
          <w:rFonts w:hint="eastAsia" w:ascii="宋体" w:hAnsi="宋体" w:eastAsia="宋体" w:cs="Times New Roman"/>
          <w:sz w:val="24"/>
          <w:lang w:eastAsia="zh-CN"/>
        </w:rPr>
        <w:t>文件要求盖章的；</w:t>
      </w:r>
    </w:p>
    <w:p>
      <w:pPr>
        <w:tabs>
          <w:tab w:val="left" w:pos="5400"/>
        </w:tabs>
        <w:adjustRightInd w:val="0"/>
        <w:snapToGrid w:val="0"/>
        <w:spacing w:line="360" w:lineRule="auto"/>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lang w:eastAsia="zh-CN"/>
        </w:rPr>
        <w:t>（二）明显不符合技术规范、技术标准的要求；</w:t>
      </w:r>
    </w:p>
    <w:p>
      <w:pPr>
        <w:tabs>
          <w:tab w:val="left" w:pos="5400"/>
        </w:tabs>
        <w:adjustRightInd w:val="0"/>
        <w:snapToGrid w:val="0"/>
        <w:spacing w:line="360" w:lineRule="auto"/>
        <w:ind w:firstLine="480" w:firstLineChars="200"/>
        <w:jc w:val="left"/>
        <w:rPr>
          <w:rFonts w:hint="default" w:ascii="宋体" w:hAnsi="宋体" w:eastAsia="宋体" w:cs="Times New Roman"/>
          <w:sz w:val="24"/>
          <w:lang w:val="en-US"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三</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响应文件没有按照</w:t>
      </w:r>
      <w:r>
        <w:rPr>
          <w:rFonts w:hint="eastAsia" w:ascii="宋体" w:hAnsi="宋体" w:eastAsia="宋体" w:cs="Times New Roman"/>
          <w:sz w:val="24"/>
          <w:lang w:eastAsia="zh-CN"/>
        </w:rPr>
        <w:t>竞争性磋商文件</w:t>
      </w:r>
      <w:r>
        <w:rPr>
          <w:rFonts w:hint="eastAsia" w:ascii="宋体" w:hAnsi="宋体" w:eastAsia="宋体" w:cs="Times New Roman"/>
          <w:sz w:val="24"/>
          <w:lang w:val="en-US" w:eastAsia="zh-CN"/>
        </w:rPr>
        <w:t>做出承诺的；</w:t>
      </w:r>
    </w:p>
    <w:p>
      <w:pPr>
        <w:tabs>
          <w:tab w:val="left" w:pos="5400"/>
        </w:tabs>
        <w:adjustRightInd w:val="0"/>
        <w:snapToGrid w:val="0"/>
        <w:spacing w:line="360" w:lineRule="auto"/>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四</w:t>
      </w:r>
      <w:r>
        <w:rPr>
          <w:rFonts w:hint="eastAsia" w:ascii="宋体" w:hAnsi="宋体" w:eastAsia="宋体" w:cs="Times New Roman"/>
          <w:sz w:val="24"/>
          <w:lang w:eastAsia="zh-CN"/>
        </w:rPr>
        <w:t>）响应文件的关键内容字迹模糊、无法辨认的；</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hint="eastAsia" w:ascii="宋体" w:hAnsi="宋体"/>
          <w:sz w:val="24"/>
          <w:lang w:eastAsia="zh-CN"/>
        </w:rPr>
        <w:t>响应文件</w:t>
      </w:r>
      <w:r>
        <w:rPr>
          <w:rFonts w:hint="eastAsia" w:ascii="宋体" w:hAnsi="宋体"/>
          <w:sz w:val="24"/>
        </w:rPr>
        <w:t>附有</w:t>
      </w:r>
      <w:r>
        <w:rPr>
          <w:rFonts w:hint="eastAsia" w:ascii="宋体" w:hAnsi="宋体"/>
          <w:sz w:val="24"/>
          <w:lang w:eastAsia="zh-CN"/>
        </w:rPr>
        <w:t>采购人</w:t>
      </w:r>
      <w:r>
        <w:rPr>
          <w:rFonts w:hint="eastAsia" w:ascii="宋体" w:hAnsi="宋体"/>
          <w:sz w:val="24"/>
        </w:rPr>
        <w:t>不能接受的条件；</w:t>
      </w:r>
    </w:p>
    <w:p>
      <w:pPr>
        <w:tabs>
          <w:tab w:val="left" w:pos="5400"/>
        </w:tabs>
        <w:adjustRightInd w:val="0"/>
        <w:snapToGrid w:val="0"/>
        <w:spacing w:line="360" w:lineRule="auto"/>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lang w:val="en-US" w:eastAsia="zh-CN"/>
        </w:rPr>
        <w:t>3</w:t>
      </w:r>
      <w:r>
        <w:rPr>
          <w:rFonts w:hint="eastAsia" w:ascii="宋体" w:hAnsi="宋体" w:eastAsia="宋体" w:cs="Times New Roman"/>
          <w:sz w:val="24"/>
          <w:lang w:eastAsia="zh-CN"/>
        </w:rPr>
        <w:t xml:space="preserve">. </w:t>
      </w:r>
      <w:bookmarkEnd w:id="147"/>
      <w:bookmarkEnd w:id="148"/>
      <w:bookmarkEnd w:id="149"/>
      <w:bookmarkEnd w:id="150"/>
      <w:bookmarkEnd w:id="151"/>
      <w:r>
        <w:rPr>
          <w:rFonts w:hint="eastAsia" w:ascii="宋体" w:hAnsi="宋体" w:eastAsia="宋体" w:cs="Times New Roman"/>
          <w:sz w:val="24"/>
          <w:lang w:val="en-US" w:eastAsia="zh-CN"/>
        </w:rPr>
        <w:t>响应人</w:t>
      </w:r>
      <w:r>
        <w:rPr>
          <w:rFonts w:hint="eastAsia" w:ascii="宋体" w:hAnsi="宋体" w:eastAsia="宋体" w:cs="Times New Roman"/>
          <w:sz w:val="24"/>
          <w:lang w:eastAsia="zh-CN"/>
        </w:rPr>
        <w:t>不具备竞争性或不足三家视为流标。</w:t>
      </w:r>
    </w:p>
    <w:p>
      <w:pPr>
        <w:pStyle w:val="22"/>
        <w:rPr>
          <w:rFonts w:hint="eastAsia" w:ascii="宋体" w:hAnsi="宋体" w:eastAsia="宋体" w:cs="Times New Roman"/>
          <w:sz w:val="24"/>
          <w:lang w:eastAsia="zh-CN"/>
        </w:rPr>
      </w:pPr>
    </w:p>
    <w:p>
      <w:pPr>
        <w:pStyle w:val="7"/>
        <w:rPr>
          <w:rFonts w:hint="eastAsia" w:ascii="宋体" w:hAnsi="宋体" w:eastAsia="宋体" w:cs="Times New Roman"/>
          <w:sz w:val="24"/>
          <w:lang w:eastAsia="zh-CN"/>
        </w:rPr>
      </w:pPr>
    </w:p>
    <w:p>
      <w:pPr>
        <w:pStyle w:val="10"/>
        <w:rPr>
          <w:rFonts w:hint="eastAsia" w:ascii="宋体" w:hAnsi="宋体" w:eastAsia="宋体" w:cs="Times New Roman"/>
          <w:sz w:val="24"/>
          <w:lang w:eastAsia="zh-CN"/>
        </w:rPr>
      </w:pPr>
    </w:p>
    <w:p>
      <w:pPr>
        <w:rPr>
          <w:rFonts w:hint="eastAsia" w:ascii="宋体" w:hAnsi="宋体" w:eastAsia="宋体" w:cs="Times New Roman"/>
          <w:sz w:val="24"/>
          <w:lang w:eastAsia="zh-CN"/>
        </w:rPr>
      </w:pPr>
    </w:p>
    <w:p>
      <w:pPr>
        <w:pStyle w:val="22"/>
        <w:rPr>
          <w:rFonts w:hint="eastAsia" w:ascii="宋体" w:hAnsi="宋体" w:eastAsia="宋体" w:cs="Times New Roman"/>
          <w:sz w:val="24"/>
          <w:lang w:eastAsia="zh-CN"/>
        </w:rPr>
      </w:pPr>
    </w:p>
    <w:p>
      <w:pPr>
        <w:pStyle w:val="7"/>
        <w:rPr>
          <w:rFonts w:hint="eastAsia" w:ascii="宋体" w:hAnsi="宋体" w:eastAsia="宋体" w:cs="Times New Roman"/>
          <w:sz w:val="24"/>
          <w:lang w:eastAsia="zh-CN"/>
        </w:rPr>
      </w:pPr>
    </w:p>
    <w:p>
      <w:pPr>
        <w:pStyle w:val="10"/>
        <w:rPr>
          <w:rFonts w:hint="eastAsia" w:ascii="宋体" w:hAnsi="宋体" w:eastAsia="宋体" w:cs="Times New Roman"/>
          <w:sz w:val="24"/>
          <w:lang w:eastAsia="zh-CN"/>
        </w:rPr>
      </w:pPr>
    </w:p>
    <w:p>
      <w:pPr>
        <w:rPr>
          <w:rFonts w:hint="eastAsia" w:ascii="宋体" w:hAnsi="宋体" w:eastAsia="宋体" w:cs="Times New Roman"/>
          <w:sz w:val="24"/>
          <w:lang w:eastAsia="zh-CN"/>
        </w:rPr>
      </w:pPr>
    </w:p>
    <w:p>
      <w:pPr>
        <w:pStyle w:val="22"/>
        <w:rPr>
          <w:rFonts w:hint="eastAsia" w:ascii="宋体" w:hAnsi="宋体" w:eastAsia="宋体" w:cs="Times New Roman"/>
          <w:sz w:val="24"/>
          <w:lang w:eastAsia="zh-CN"/>
        </w:rPr>
      </w:pPr>
    </w:p>
    <w:p>
      <w:pPr>
        <w:pStyle w:val="7"/>
        <w:rPr>
          <w:rFonts w:hint="eastAsia" w:ascii="宋体" w:hAnsi="宋体" w:eastAsia="宋体" w:cs="Times New Roman"/>
          <w:sz w:val="24"/>
          <w:lang w:eastAsia="zh-CN"/>
        </w:rPr>
      </w:pPr>
    </w:p>
    <w:p>
      <w:pPr>
        <w:pStyle w:val="10"/>
        <w:rPr>
          <w:rFonts w:hint="eastAsia" w:ascii="宋体" w:hAnsi="宋体" w:eastAsia="宋体" w:cs="Times New Roman"/>
          <w:sz w:val="24"/>
          <w:lang w:eastAsia="zh-CN"/>
        </w:rPr>
      </w:pPr>
    </w:p>
    <w:p>
      <w:pPr>
        <w:rPr>
          <w:rFonts w:hint="eastAsia" w:ascii="宋体" w:hAnsi="宋体" w:eastAsia="宋体" w:cs="Times New Roman"/>
          <w:sz w:val="24"/>
          <w:lang w:eastAsia="zh-CN"/>
        </w:rPr>
      </w:pPr>
    </w:p>
    <w:p>
      <w:pPr>
        <w:pStyle w:val="22"/>
        <w:rPr>
          <w:rFonts w:hint="eastAsia" w:ascii="宋体" w:hAnsi="宋体" w:eastAsia="宋体" w:cs="Times New Roman"/>
          <w:sz w:val="24"/>
          <w:lang w:eastAsia="zh-CN"/>
        </w:rPr>
      </w:pPr>
    </w:p>
    <w:p>
      <w:pPr>
        <w:pStyle w:val="7"/>
        <w:rPr>
          <w:rFonts w:hint="eastAsia" w:ascii="宋体" w:hAnsi="宋体" w:eastAsia="宋体" w:cs="Times New Roman"/>
          <w:sz w:val="24"/>
          <w:lang w:eastAsia="zh-CN"/>
        </w:rPr>
      </w:pPr>
    </w:p>
    <w:p>
      <w:pPr>
        <w:pStyle w:val="10"/>
        <w:rPr>
          <w:rFonts w:hint="eastAsia" w:ascii="宋体" w:hAnsi="宋体" w:eastAsia="宋体" w:cs="Times New Roman"/>
          <w:sz w:val="24"/>
          <w:lang w:eastAsia="zh-CN"/>
        </w:rPr>
      </w:pPr>
    </w:p>
    <w:p>
      <w:pPr>
        <w:rPr>
          <w:rFonts w:hint="eastAsia" w:ascii="宋体" w:hAnsi="宋体" w:eastAsia="宋体" w:cs="Times New Roman"/>
          <w:sz w:val="24"/>
          <w:lang w:eastAsia="zh-CN"/>
        </w:rPr>
      </w:pPr>
    </w:p>
    <w:p>
      <w:pPr>
        <w:pStyle w:val="22"/>
        <w:rPr>
          <w:rFonts w:hint="eastAsia" w:ascii="宋体" w:hAnsi="宋体" w:eastAsia="宋体" w:cs="Times New Roman"/>
          <w:sz w:val="24"/>
          <w:lang w:eastAsia="zh-CN"/>
        </w:rPr>
      </w:pPr>
    </w:p>
    <w:p>
      <w:pPr>
        <w:pStyle w:val="7"/>
        <w:rPr>
          <w:rFonts w:hint="eastAsia" w:ascii="宋体" w:hAnsi="宋体" w:eastAsia="宋体" w:cs="Times New Roman"/>
          <w:sz w:val="24"/>
          <w:lang w:eastAsia="zh-CN"/>
        </w:rPr>
      </w:pPr>
    </w:p>
    <w:p>
      <w:pPr>
        <w:pStyle w:val="10"/>
        <w:rPr>
          <w:rFonts w:hint="eastAsia" w:ascii="宋体" w:hAnsi="宋体" w:eastAsia="宋体" w:cs="Times New Roman"/>
          <w:sz w:val="24"/>
          <w:lang w:eastAsia="zh-CN"/>
        </w:rPr>
      </w:pPr>
    </w:p>
    <w:p>
      <w:pPr>
        <w:rPr>
          <w:rFonts w:hint="eastAsia" w:ascii="宋体" w:hAnsi="宋体" w:eastAsia="宋体" w:cs="Times New Roman"/>
          <w:sz w:val="24"/>
          <w:lang w:eastAsia="zh-CN"/>
        </w:rPr>
      </w:pPr>
    </w:p>
    <w:p>
      <w:pPr>
        <w:pStyle w:val="22"/>
        <w:rPr>
          <w:rFonts w:hint="eastAsia" w:ascii="宋体" w:hAnsi="宋体" w:eastAsia="宋体" w:cs="Times New Roman"/>
          <w:sz w:val="24"/>
          <w:lang w:eastAsia="zh-CN"/>
        </w:rPr>
      </w:pPr>
    </w:p>
    <w:p>
      <w:pPr>
        <w:pStyle w:val="7"/>
        <w:rPr>
          <w:rFonts w:hint="eastAsia" w:ascii="宋体" w:hAnsi="宋体" w:eastAsia="宋体" w:cs="Times New Roman"/>
          <w:sz w:val="24"/>
          <w:lang w:eastAsia="zh-CN"/>
        </w:rPr>
      </w:pPr>
    </w:p>
    <w:p>
      <w:pPr>
        <w:pStyle w:val="10"/>
        <w:rPr>
          <w:rFonts w:hint="eastAsia" w:ascii="宋体" w:hAnsi="宋体" w:eastAsia="宋体" w:cs="Times New Roman"/>
          <w:sz w:val="24"/>
          <w:lang w:eastAsia="zh-CN"/>
        </w:rPr>
      </w:pPr>
    </w:p>
    <w:p>
      <w:pPr>
        <w:rPr>
          <w:rFonts w:hint="eastAsia" w:ascii="宋体" w:hAnsi="宋体" w:eastAsia="宋体" w:cs="Times New Roman"/>
          <w:sz w:val="24"/>
          <w:lang w:eastAsia="zh-CN"/>
        </w:rPr>
      </w:pPr>
    </w:p>
    <w:p>
      <w:pPr>
        <w:pStyle w:val="22"/>
        <w:rPr>
          <w:rFonts w:hint="eastAsia" w:ascii="宋体" w:hAnsi="宋体" w:eastAsia="宋体" w:cs="Times New Roman"/>
          <w:sz w:val="24"/>
          <w:lang w:eastAsia="zh-CN"/>
        </w:rPr>
      </w:pPr>
    </w:p>
    <w:p>
      <w:pPr>
        <w:pStyle w:val="7"/>
        <w:rPr>
          <w:rFonts w:hint="eastAsia" w:ascii="宋体" w:hAnsi="宋体" w:eastAsia="宋体" w:cs="Times New Roman"/>
          <w:sz w:val="24"/>
          <w:lang w:eastAsia="zh-CN"/>
        </w:rPr>
      </w:pPr>
    </w:p>
    <w:p>
      <w:pPr>
        <w:rPr>
          <w:rFonts w:hint="eastAsia" w:ascii="宋体" w:hAnsi="宋体" w:eastAsia="宋体" w:cs="Times New Roman"/>
          <w:sz w:val="24"/>
          <w:lang w:eastAsia="zh-CN"/>
        </w:rPr>
        <w:sectPr>
          <w:footerReference r:id="rId7" w:type="first"/>
          <w:footerReference r:id="rId6" w:type="default"/>
          <w:pgSz w:w="11907" w:h="16840"/>
          <w:pgMar w:top="1400" w:right="1134" w:bottom="1134" w:left="1440" w:header="851" w:footer="992" w:gutter="0"/>
          <w:pgNumType w:start="1"/>
          <w:cols w:space="720" w:num="1"/>
          <w:docGrid w:type="linesAndChars" w:linePitch="312" w:charSpace="0"/>
        </w:sectPr>
      </w:pPr>
    </w:p>
    <w:tbl>
      <w:tblPr>
        <w:tblStyle w:val="16"/>
        <w:tblW w:w="15864" w:type="dxa"/>
        <w:jc w:val="center"/>
        <w:tblLayout w:type="fixed"/>
        <w:tblCellMar>
          <w:top w:w="0" w:type="dxa"/>
          <w:left w:w="108" w:type="dxa"/>
          <w:bottom w:w="0" w:type="dxa"/>
          <w:right w:w="108" w:type="dxa"/>
        </w:tblCellMar>
      </w:tblPr>
      <w:tblGrid>
        <w:gridCol w:w="15864"/>
      </w:tblGrid>
      <w:tr>
        <w:tblPrEx>
          <w:tblCellMar>
            <w:top w:w="0" w:type="dxa"/>
            <w:left w:w="108" w:type="dxa"/>
            <w:bottom w:w="0" w:type="dxa"/>
            <w:right w:w="108" w:type="dxa"/>
          </w:tblCellMar>
        </w:tblPrEx>
        <w:trPr>
          <w:trHeight w:val="619" w:hRule="atLeast"/>
          <w:jc w:val="center"/>
        </w:trPr>
        <w:tc>
          <w:tcPr>
            <w:tcW w:w="15864" w:type="dxa"/>
            <w:tcBorders>
              <w:top w:val="nil"/>
              <w:left w:val="nil"/>
              <w:bottom w:val="nil"/>
              <w:right w:val="nil"/>
            </w:tcBorders>
            <w:shd w:val="clear" w:color="000000" w:fill="FFFFFF"/>
            <w:noWrap w:val="0"/>
            <w:vAlign w:val="center"/>
          </w:tcPr>
          <w:p>
            <w:pPr>
              <w:spacing w:line="240" w:lineRule="auto"/>
              <w:ind w:firstLine="723"/>
              <w:jc w:val="center"/>
              <w:rPr>
                <w:rFonts w:ascii="宋体" w:hAnsi="宋体" w:eastAsia="宋体" w:cs="宋体"/>
              </w:rPr>
            </w:pPr>
            <w:r>
              <w:rPr>
                <w:rFonts w:hint="eastAsia" w:ascii="宋体" w:hAnsi="宋体" w:eastAsia="宋体" w:cs="宋体"/>
                <w:b/>
                <w:bCs/>
                <w:kern w:val="0"/>
                <w:sz w:val="36"/>
                <w:szCs w:val="36"/>
                <w:u w:val="single"/>
              </w:rPr>
              <w:t>资  格  审  查  表</w:t>
            </w:r>
          </w:p>
          <w:tbl>
            <w:tblPr>
              <w:tblStyle w:val="16"/>
              <w:tblW w:w="15090" w:type="dxa"/>
              <w:jc w:val="center"/>
              <w:tblLayout w:type="fixed"/>
              <w:tblCellMar>
                <w:top w:w="0" w:type="dxa"/>
                <w:left w:w="108" w:type="dxa"/>
                <w:bottom w:w="0" w:type="dxa"/>
                <w:right w:w="108" w:type="dxa"/>
              </w:tblCellMar>
            </w:tblPr>
            <w:tblGrid>
              <w:gridCol w:w="711"/>
              <w:gridCol w:w="1695"/>
              <w:gridCol w:w="8147"/>
              <w:gridCol w:w="1180"/>
              <w:gridCol w:w="1163"/>
              <w:gridCol w:w="1095"/>
              <w:gridCol w:w="1099"/>
            </w:tblGrid>
            <w:tr>
              <w:tblPrEx>
                <w:tblCellMar>
                  <w:top w:w="0" w:type="dxa"/>
                  <w:left w:w="108" w:type="dxa"/>
                  <w:bottom w:w="0" w:type="dxa"/>
                  <w:right w:w="108" w:type="dxa"/>
                </w:tblCellMar>
              </w:tblPrEx>
              <w:trPr>
                <w:trHeight w:val="340" w:hRule="atLeast"/>
                <w:jc w:val="center"/>
              </w:trPr>
              <w:tc>
                <w:tcPr>
                  <w:tcW w:w="15090" w:type="dxa"/>
                  <w:gridSpan w:val="7"/>
                  <w:tcBorders>
                    <w:top w:val="single" w:color="auto" w:sz="4" w:space="0"/>
                    <w:left w:val="nil"/>
                    <w:bottom w:val="nil"/>
                    <w:right w:val="single" w:color="auto" w:sz="4" w:space="0"/>
                  </w:tcBorders>
                  <w:shd w:val="clear" w:color="000000" w:fill="FFFFFF"/>
                  <w:noWrap w:val="0"/>
                  <w:vAlign w:val="center"/>
                </w:tcPr>
                <w:p>
                  <w:pPr>
                    <w:widowControl/>
                    <w:tabs>
                      <w:tab w:val="left" w:pos="12600"/>
                    </w:tabs>
                    <w:spacing w:line="240" w:lineRule="auto"/>
                    <w:rPr>
                      <w:rFonts w:hint="eastAsia" w:ascii="宋体" w:hAnsi="宋体" w:eastAsia="宋体" w:cs="宋体"/>
                      <w:lang w:eastAsia="zh-CN"/>
                    </w:rPr>
                  </w:pPr>
                  <w:r>
                    <w:rPr>
                      <w:rFonts w:hint="eastAsia" w:ascii="宋体" w:hAnsi="宋体" w:eastAsia="宋体" w:cs="宋体"/>
                      <w:lang w:val="en-US" w:eastAsia="zh-CN"/>
                    </w:rPr>
                    <w:t xml:space="preserve">项目名称：                                                                                                            磋商时间： </w:t>
                  </w:r>
                </w:p>
              </w:tc>
            </w:tr>
            <w:tr>
              <w:tblPrEx>
                <w:tblCellMar>
                  <w:top w:w="0" w:type="dxa"/>
                  <w:left w:w="108" w:type="dxa"/>
                  <w:bottom w:w="0" w:type="dxa"/>
                  <w:right w:w="108" w:type="dxa"/>
                </w:tblCellMar>
              </w:tblPrEx>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0" w:firstLineChars="0"/>
                    <w:rPr>
                      <w:rFonts w:ascii="宋体" w:hAnsi="宋体" w:eastAsia="宋体" w:cs="宋体"/>
                    </w:rPr>
                  </w:pPr>
                  <w:r>
                    <w:rPr>
                      <w:rFonts w:hint="eastAsia" w:ascii="宋体" w:hAnsi="宋体" w:eastAsia="宋体" w:cs="宋体"/>
                    </w:rPr>
                    <w:t>序号</w:t>
                  </w:r>
                </w:p>
              </w:tc>
              <w:tc>
                <w:tcPr>
                  <w:tcW w:w="9842" w:type="dxa"/>
                  <w:gridSpan w:val="2"/>
                  <w:tcBorders>
                    <w:top w:val="nil"/>
                    <w:left w:val="single" w:color="auto" w:sz="4" w:space="0"/>
                    <w:bottom w:val="single" w:color="auto" w:sz="4" w:space="0"/>
                    <w:right w:val="single" w:color="auto" w:sz="4" w:space="0"/>
                    <w:tl2br w:val="single" w:color="auto" w:sz="4" w:space="0"/>
                  </w:tcBorders>
                  <w:shd w:val="clear" w:color="000000" w:fill="FFFFFF"/>
                  <w:noWrap w:val="0"/>
                  <w:vAlign w:val="center"/>
                </w:tcPr>
                <w:p>
                  <w:pPr>
                    <w:widowControl/>
                    <w:spacing w:line="240" w:lineRule="auto"/>
                    <w:ind w:firstLine="480"/>
                    <w:rPr>
                      <w:rFonts w:hint="eastAsia" w:ascii="宋体" w:hAnsi="宋体" w:eastAsia="宋体" w:cs="宋体"/>
                      <w:lang w:eastAsia="zh-CN"/>
                    </w:rPr>
                  </w:pPr>
                  <w:r>
                    <w:rPr>
                      <w:rFonts w:hint="eastAsia" w:ascii="宋体" w:hAnsi="宋体" w:eastAsia="宋体" w:cs="宋体"/>
                    </w:rPr>
                    <w:t xml:space="preserve">                                                         供应商名称</w:t>
                  </w:r>
                </w:p>
                <w:p>
                  <w:pPr>
                    <w:widowControl/>
                    <w:spacing w:line="240" w:lineRule="auto"/>
                    <w:ind w:firstLine="480"/>
                    <w:rPr>
                      <w:rFonts w:ascii="宋体" w:hAnsi="宋体" w:eastAsia="宋体" w:cs="宋体"/>
                    </w:rPr>
                  </w:pPr>
                  <w:r>
                    <w:rPr>
                      <w:rFonts w:hint="eastAsia" w:ascii="宋体" w:hAnsi="宋体" w:eastAsia="宋体" w:cs="宋体"/>
                    </w:rPr>
                    <w:t>资格要求</w:t>
                  </w:r>
                </w:p>
              </w:tc>
              <w:tc>
                <w:tcPr>
                  <w:tcW w:w="1180" w:type="dxa"/>
                  <w:tcBorders>
                    <w:top w:val="nil"/>
                    <w:left w:val="single" w:color="auto" w:sz="4" w:space="0"/>
                    <w:bottom w:val="single" w:color="auto" w:sz="4" w:space="0"/>
                    <w:right w:val="single" w:color="auto" w:sz="4" w:space="0"/>
                  </w:tcBorders>
                  <w:shd w:val="clear" w:color="000000" w:fill="FFFFFF"/>
                  <w:noWrap w:val="0"/>
                  <w:vAlign w:val="center"/>
                </w:tcPr>
                <w:p>
                  <w:pPr>
                    <w:spacing w:line="240" w:lineRule="auto"/>
                    <w:ind w:firstLine="0" w:firstLineChars="0"/>
                    <w:rPr>
                      <w:rFonts w:ascii="宋体" w:hAnsi="宋体" w:eastAsia="宋体" w:cs="宋体"/>
                    </w:rPr>
                  </w:pPr>
                  <w:r>
                    <w:rPr>
                      <w:rFonts w:hint="eastAsia" w:ascii="宋体" w:hAnsi="宋体" w:eastAsia="宋体" w:cs="宋体"/>
                    </w:rPr>
                    <w:t>供应商1</w:t>
                  </w:r>
                </w:p>
              </w:tc>
              <w:tc>
                <w:tcPr>
                  <w:tcW w:w="1163" w:type="dxa"/>
                  <w:tcBorders>
                    <w:top w:val="nil"/>
                    <w:left w:val="single" w:color="auto" w:sz="4" w:space="0"/>
                    <w:bottom w:val="single" w:color="auto" w:sz="4" w:space="0"/>
                    <w:right w:val="single" w:color="auto" w:sz="4" w:space="0"/>
                  </w:tcBorders>
                  <w:shd w:val="clear" w:color="000000" w:fill="FFFFFF"/>
                  <w:noWrap w:val="0"/>
                  <w:vAlign w:val="center"/>
                </w:tcPr>
                <w:p>
                  <w:pPr>
                    <w:spacing w:line="240" w:lineRule="auto"/>
                    <w:ind w:firstLine="0" w:firstLineChars="0"/>
                    <w:rPr>
                      <w:rFonts w:ascii="宋体" w:hAnsi="宋体" w:eastAsia="宋体" w:cs="宋体"/>
                    </w:rPr>
                  </w:pPr>
                  <w:r>
                    <w:rPr>
                      <w:rFonts w:hint="eastAsia" w:ascii="宋体" w:hAnsi="宋体" w:eastAsia="宋体" w:cs="宋体"/>
                    </w:rPr>
                    <w:t>供应商2</w:t>
                  </w:r>
                </w:p>
              </w:tc>
              <w:tc>
                <w:tcPr>
                  <w:tcW w:w="1095" w:type="dxa"/>
                  <w:tcBorders>
                    <w:top w:val="nil"/>
                    <w:left w:val="single" w:color="auto" w:sz="4" w:space="0"/>
                    <w:bottom w:val="single" w:color="auto" w:sz="4" w:space="0"/>
                    <w:right w:val="single" w:color="auto" w:sz="4" w:space="0"/>
                  </w:tcBorders>
                  <w:shd w:val="clear" w:color="000000" w:fill="FFFFFF"/>
                  <w:noWrap w:val="0"/>
                  <w:vAlign w:val="center"/>
                </w:tcPr>
                <w:p>
                  <w:pPr>
                    <w:spacing w:line="240" w:lineRule="auto"/>
                    <w:ind w:firstLine="0" w:firstLineChars="0"/>
                    <w:rPr>
                      <w:rFonts w:ascii="宋体" w:hAnsi="宋体" w:eastAsia="宋体" w:cs="宋体"/>
                    </w:rPr>
                  </w:pPr>
                  <w:r>
                    <w:rPr>
                      <w:rFonts w:hint="eastAsia" w:ascii="宋体" w:hAnsi="宋体" w:eastAsia="宋体" w:cs="宋体"/>
                    </w:rPr>
                    <w:t>供应商3</w:t>
                  </w:r>
                </w:p>
              </w:tc>
              <w:tc>
                <w:tcPr>
                  <w:tcW w:w="1099" w:type="dxa"/>
                  <w:tcBorders>
                    <w:top w:val="nil"/>
                    <w:left w:val="single" w:color="auto" w:sz="4" w:space="0"/>
                    <w:bottom w:val="single" w:color="auto" w:sz="4" w:space="0"/>
                    <w:right w:val="single" w:color="auto" w:sz="4" w:space="0"/>
                  </w:tcBorders>
                  <w:shd w:val="clear" w:color="000000" w:fill="FFFFFF"/>
                  <w:noWrap w:val="0"/>
                  <w:vAlign w:val="center"/>
                </w:tcPr>
                <w:p>
                  <w:pPr>
                    <w:spacing w:line="240" w:lineRule="auto"/>
                    <w:ind w:firstLine="0" w:firstLineChars="0"/>
                    <w:rPr>
                      <w:rFonts w:ascii="宋体" w:hAnsi="宋体" w:eastAsia="宋体" w:cs="宋体"/>
                    </w:rPr>
                  </w:pPr>
                  <w:r>
                    <w:rPr>
                      <w:rFonts w:hint="eastAsia" w:ascii="宋体" w:hAnsi="宋体" w:eastAsia="宋体" w:cs="宋体"/>
                    </w:rPr>
                    <w:t>供应商4</w:t>
                  </w:r>
                </w:p>
              </w:tc>
            </w:tr>
            <w:tr>
              <w:tblPrEx>
                <w:tblCellMar>
                  <w:top w:w="0" w:type="dxa"/>
                  <w:left w:w="108" w:type="dxa"/>
                  <w:bottom w:w="0" w:type="dxa"/>
                  <w:right w:w="108" w:type="dxa"/>
                </w:tblCellMar>
              </w:tblPrEx>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210" w:firstLineChars="100"/>
                    <w:rPr>
                      <w:rFonts w:ascii="宋体" w:hAnsi="宋体" w:eastAsia="宋体" w:cs="宋体"/>
                    </w:rPr>
                  </w:pPr>
                  <w:r>
                    <w:rPr>
                      <w:rFonts w:hint="eastAsia" w:ascii="宋体" w:hAnsi="宋体" w:eastAsia="宋体" w:cs="宋体"/>
                    </w:rPr>
                    <w:t>1</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ascii="宋体" w:hAnsi="宋体" w:eastAsia="宋体" w:cs="宋体"/>
                    </w:rPr>
                  </w:pPr>
                  <w:r>
                    <w:rPr>
                      <w:rFonts w:hint="eastAsia" w:ascii="宋体" w:hAnsi="宋体" w:eastAsia="宋体" w:cs="宋体"/>
                    </w:rPr>
                    <w:t>经营资格审查</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24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具有独立承担民事责任的能力：</w:t>
                  </w:r>
                </w:p>
                <w:p>
                  <w:pPr>
                    <w:widowControl/>
                    <w:spacing w:line="240" w:lineRule="auto"/>
                    <w:ind w:firstLine="0" w:firstLineChars="0"/>
                    <w:rPr>
                      <w:rFonts w:hint="default" w:ascii="宋体" w:hAnsi="宋体" w:eastAsia="宋体" w:cs="宋体"/>
                      <w:lang w:val="en-US"/>
                    </w:rPr>
                  </w:pPr>
                  <w:r>
                    <w:rPr>
                      <w:rFonts w:hint="eastAsia" w:ascii="宋体" w:hAnsi="宋体" w:eastAsia="宋体" w:cs="Times New Roman"/>
                      <w:sz w:val="21"/>
                      <w:szCs w:val="21"/>
                      <w:highlight w:val="none"/>
                      <w:lang w:val="en-US" w:eastAsia="zh-CN"/>
                    </w:rPr>
                    <w:t>具体要求：提供法人或其他组织的营业执照等证明文件，或自然人身份证明；（复印或扫描件须加盖响应人公章）</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210" w:firstLineChars="100"/>
                    <w:rPr>
                      <w:rFonts w:ascii="宋体" w:hAnsi="宋体" w:eastAsia="宋体" w:cs="宋体"/>
                    </w:rPr>
                  </w:pPr>
                  <w:r>
                    <w:rPr>
                      <w:rFonts w:hint="eastAsia" w:ascii="宋体" w:hAnsi="宋体" w:eastAsia="宋体" w:cs="宋体"/>
                    </w:rPr>
                    <w:t>2</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ascii="宋体" w:hAnsi="宋体" w:eastAsia="宋体" w:cs="宋体"/>
                      <w:bCs/>
                    </w:rPr>
                  </w:pP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240" w:lineRule="auto"/>
                    <w:rPr>
                      <w:rFonts w:hint="eastAsia" w:ascii="宋体" w:hAnsi="宋体" w:eastAsia="宋体" w:cs="Times New Roman"/>
                      <w:color w:val="0000FF"/>
                      <w:sz w:val="21"/>
                      <w:szCs w:val="21"/>
                      <w:highlight w:val="none"/>
                      <w:lang w:val="en-US" w:eastAsia="zh-CN"/>
                    </w:rPr>
                  </w:pPr>
                  <w:r>
                    <w:rPr>
                      <w:rFonts w:hint="eastAsia" w:ascii="宋体" w:hAnsi="宋体" w:eastAsia="宋体" w:cs="Times New Roman"/>
                      <w:color w:val="0000FF"/>
                      <w:sz w:val="21"/>
                      <w:szCs w:val="21"/>
                      <w:highlight w:val="none"/>
                      <w:lang w:val="en-US" w:eastAsia="zh-CN"/>
                    </w:rPr>
                    <w:t>具有良好的商业信誉和健全的财务会计制度：</w:t>
                  </w:r>
                </w:p>
                <w:p>
                  <w:pPr>
                    <w:widowControl/>
                    <w:spacing w:line="240" w:lineRule="auto"/>
                    <w:ind w:firstLine="0" w:firstLineChars="0"/>
                    <w:rPr>
                      <w:rFonts w:ascii="宋体" w:hAnsi="宋体" w:eastAsia="宋体" w:cs="宋体"/>
                    </w:rPr>
                  </w:pPr>
                  <w:r>
                    <w:rPr>
                      <w:rFonts w:hint="eastAsia" w:ascii="宋体" w:hAnsi="宋体" w:eastAsia="宋体" w:cs="Times New Roman"/>
                      <w:color w:val="0000FF"/>
                      <w:sz w:val="21"/>
                      <w:szCs w:val="21"/>
                      <w:highlight w:val="none"/>
                      <w:lang w:val="en-US" w:eastAsia="zh-CN"/>
                    </w:rPr>
                    <w:t>具体要求：供应商是法人的，提供2021年度经会计师事务所审计的审计报告，或</w:t>
                  </w:r>
                  <w:r>
                    <w:rPr>
                      <w:rFonts w:hint="eastAsia" w:ascii="宋体" w:hAnsi="宋体" w:cs="Times New Roman"/>
                      <w:color w:val="0000FF"/>
                      <w:sz w:val="21"/>
                      <w:szCs w:val="21"/>
                      <w:highlight w:val="none"/>
                      <w:lang w:val="en-US" w:eastAsia="zh-CN"/>
                    </w:rPr>
                    <w:t>开户许可</w:t>
                  </w:r>
                  <w:r>
                    <w:rPr>
                      <w:rFonts w:hint="eastAsia" w:ascii="宋体" w:hAnsi="宋体" w:eastAsia="宋体" w:cs="Times New Roman"/>
                      <w:color w:val="0000FF"/>
                      <w:sz w:val="21"/>
                      <w:szCs w:val="21"/>
                      <w:highlight w:val="none"/>
                      <w:lang w:val="en-US" w:eastAsia="zh-CN"/>
                    </w:rPr>
                    <w:t>。部分其他组织和自然人，没有经审计的财务报告，可以提供</w:t>
                  </w:r>
                  <w:r>
                    <w:rPr>
                      <w:rFonts w:hint="eastAsia" w:ascii="宋体" w:hAnsi="宋体" w:cs="Times New Roman"/>
                      <w:color w:val="0000FF"/>
                      <w:sz w:val="21"/>
                      <w:szCs w:val="21"/>
                      <w:highlight w:val="none"/>
                      <w:lang w:val="en-US" w:eastAsia="zh-CN"/>
                    </w:rPr>
                    <w:t>开户许可</w:t>
                  </w:r>
                  <w:r>
                    <w:rPr>
                      <w:rFonts w:hint="eastAsia" w:ascii="宋体" w:hAnsi="宋体" w:eastAsia="宋体" w:cs="Times New Roman"/>
                      <w:color w:val="0000FF"/>
                      <w:sz w:val="21"/>
                      <w:szCs w:val="21"/>
                      <w:highlight w:val="none"/>
                      <w:lang w:val="en-US" w:eastAsia="zh-CN"/>
                    </w:rPr>
                    <w:t>。（复印或扫描件须加盖响应人公章）</w:t>
                  </w:r>
                  <w:r>
                    <w:rPr>
                      <w:rFonts w:hint="eastAsia" w:ascii="宋体" w:hAnsi="宋体" w:eastAsia="宋体" w:cs="宋体"/>
                      <w:color w:val="0000FF"/>
                      <w:lang w:val="en-US" w:eastAsia="zh-CN"/>
                    </w:rPr>
                    <w:t>）</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7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210" w:firstLineChars="100"/>
                    <w:rPr>
                      <w:rFonts w:ascii="宋体" w:hAnsi="宋体" w:eastAsia="宋体" w:cs="宋体"/>
                    </w:rPr>
                  </w:pPr>
                  <w:r>
                    <w:rPr>
                      <w:rFonts w:hint="eastAsia" w:ascii="宋体" w:hAnsi="宋体" w:eastAsia="宋体" w:cs="宋体"/>
                    </w:rPr>
                    <w:t>3</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ascii="宋体" w:hAnsi="宋体" w:eastAsia="宋体" w:cs="宋体"/>
                      <w:bCs/>
                    </w:rPr>
                  </w:pP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24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具有履行合同所必需的设备和专业技术能力：</w:t>
                  </w:r>
                </w:p>
                <w:p>
                  <w:pPr>
                    <w:spacing w:line="240" w:lineRule="auto"/>
                    <w:ind w:firstLine="0" w:firstLineChars="0"/>
                    <w:rPr>
                      <w:rFonts w:ascii="宋体" w:hAnsi="宋体" w:eastAsia="宋体" w:cs="宋体"/>
                    </w:rPr>
                  </w:pPr>
                  <w:r>
                    <w:rPr>
                      <w:rFonts w:hint="eastAsia" w:ascii="宋体" w:hAnsi="宋体" w:eastAsia="宋体" w:cs="Times New Roman"/>
                      <w:sz w:val="21"/>
                      <w:szCs w:val="21"/>
                      <w:highlight w:val="none"/>
                      <w:lang w:val="en-US" w:eastAsia="zh-CN"/>
                    </w:rPr>
                    <w:t>具体要求：提供具备履行合同所必需的设备和专业技术能力的证明材料（承诺函格式自拟）</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304"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210" w:firstLineChars="100"/>
                    <w:rPr>
                      <w:rFonts w:ascii="宋体" w:hAnsi="宋体" w:eastAsia="宋体" w:cs="宋体"/>
                    </w:rPr>
                  </w:pPr>
                  <w:r>
                    <w:rPr>
                      <w:rFonts w:hint="eastAsia" w:ascii="宋体" w:hAnsi="宋体" w:eastAsia="宋体" w:cs="宋体"/>
                    </w:rPr>
                    <w:t>4</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ascii="宋体" w:hAnsi="宋体" w:eastAsia="宋体" w:cs="宋体"/>
                      <w:bCs/>
                    </w:rPr>
                  </w:pP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24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具有依法缴纳税收和社会保障资金的良好记录：</w:t>
                  </w:r>
                </w:p>
                <w:p>
                  <w:pPr>
                    <w:spacing w:line="240" w:lineRule="auto"/>
                    <w:ind w:firstLine="0" w:firstLineChars="0"/>
                    <w:rPr>
                      <w:rFonts w:ascii="宋体" w:hAnsi="宋体" w:eastAsia="宋体" w:cs="宋体"/>
                    </w:rPr>
                  </w:pPr>
                  <w:r>
                    <w:rPr>
                      <w:rFonts w:hint="eastAsia" w:ascii="宋体" w:hAnsi="宋体" w:eastAsia="宋体" w:cs="Times New Roman"/>
                      <w:sz w:val="21"/>
                      <w:szCs w:val="21"/>
                      <w:highlight w:val="none"/>
                      <w:lang w:val="en-US" w:eastAsia="zh-CN"/>
                    </w:rPr>
                    <w:t>具体要求：提供供应商2022年任意3个月的征税机关出具加盖公章的的完税证明文件或自主电子缴税银行收款凭证；依法缴纳社会保障资金有效凭证指：2022年至今任意3个月的社保部门出具的缴纳完整社会保障资金收据或加盖收款银行专用章的银行收款凭证 （复印件加盖供应商单位公章）</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304"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210" w:firstLineChars="100"/>
                    <w:rPr>
                      <w:rFonts w:ascii="宋体" w:hAnsi="宋体" w:eastAsia="宋体" w:cs="宋体"/>
                    </w:rPr>
                  </w:pPr>
                  <w:r>
                    <w:rPr>
                      <w:rFonts w:hint="eastAsia" w:ascii="宋体" w:hAnsi="宋体" w:eastAsia="宋体" w:cs="宋体"/>
                    </w:rPr>
                    <w:t>5</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ascii="宋体" w:hAnsi="宋体" w:eastAsia="宋体" w:cs="宋体"/>
                      <w:bCs/>
                    </w:rPr>
                  </w:pP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24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参加本次政府采购活动前三年内，在经营活动中没有违法违规记录：</w:t>
                  </w:r>
                </w:p>
                <w:p>
                  <w:pPr>
                    <w:spacing w:line="240" w:lineRule="auto"/>
                    <w:ind w:firstLine="0" w:firstLineChars="0"/>
                    <w:rPr>
                      <w:rFonts w:ascii="宋体" w:hAnsi="宋体" w:eastAsia="宋体" w:cs="宋体"/>
                    </w:rPr>
                  </w:pPr>
                  <w:r>
                    <w:rPr>
                      <w:rFonts w:hint="eastAsia" w:ascii="宋体" w:hAnsi="宋体" w:eastAsia="宋体" w:cs="Times New Roman"/>
                      <w:sz w:val="21"/>
                      <w:szCs w:val="21"/>
                      <w:highlight w:val="none"/>
                      <w:lang w:val="en-US" w:eastAsia="zh-CN"/>
                    </w:rPr>
                    <w:t>具体要求：提供参加政府采购活动前3年内在经营活动中没有重大违法记录的书面声明（格式文件详见响应文件范本）</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304"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210" w:firstLineChars="100"/>
                    <w:rPr>
                      <w:rFonts w:hint="eastAsia" w:ascii="宋体" w:hAnsi="宋体" w:eastAsia="宋体" w:cs="宋体"/>
                    </w:rPr>
                  </w:pPr>
                  <w:r>
                    <w:rPr>
                      <w:rFonts w:hint="eastAsia" w:ascii="宋体" w:hAnsi="宋体" w:eastAsia="宋体" w:cs="宋体"/>
                    </w:rPr>
                    <w:t>6</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ascii="宋体" w:hAnsi="宋体" w:eastAsia="宋体" w:cs="宋体"/>
                      <w:bCs/>
                    </w:rPr>
                  </w:pP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240" w:lineRule="auto"/>
                    <w:rPr>
                      <w:rFonts w:hint="eastAsia" w:ascii="宋体" w:hAnsi="宋体" w:eastAsia="宋体" w:cs="宋体"/>
                    </w:rPr>
                  </w:pPr>
                  <w:r>
                    <w:rPr>
                      <w:rFonts w:hint="eastAsia" w:ascii="宋体" w:hAnsi="宋体" w:eastAsia="宋体" w:cs="Times New Roman"/>
                      <w:sz w:val="21"/>
                      <w:szCs w:val="21"/>
                      <w:highlight w:val="none"/>
                      <w:lang w:val="en-US" w:eastAsia="zh-CN"/>
                    </w:rPr>
                    <w:t>法律、行政法规规定的其他条件：供应商须承诺：在“信用中国”网站（www.creditchina.gov.cn)、中国政府采购网（www.ccgp.gov.cn)等渠道查询中未被列入失信被执行人、重大税收违法案件当事人名单、政府采购严重违法失信行为记录名单中，如被列入失信被执行人、重大税收违法案件当事人名单、政府采购严重违法失信行为记录名单中的供应商取消投标资格，并承担由此造成的一切法律责任及后果</w:t>
                  </w:r>
                  <w:r>
                    <w:rPr>
                      <w:rFonts w:hint="eastAsia" w:ascii="宋体" w:hAnsi="宋体" w:cs="Times New Roman"/>
                      <w:sz w:val="21"/>
                      <w:szCs w:val="21"/>
                      <w:highlight w:val="none"/>
                      <w:lang w:val="en-US" w:eastAsia="zh-CN"/>
                    </w:rPr>
                    <w:t>，并提供磋商截止时间前查询的网络截图</w:t>
                  </w:r>
                  <w:r>
                    <w:rPr>
                      <w:rFonts w:hint="eastAsia" w:ascii="宋体" w:hAnsi="宋体" w:eastAsia="宋体" w:cs="Times New Roman"/>
                      <w:sz w:val="21"/>
                      <w:szCs w:val="21"/>
                      <w:highlight w:val="none"/>
                      <w:lang w:val="en-US" w:eastAsia="zh-CN"/>
                    </w:rPr>
                    <w:t>。</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304"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210" w:firstLineChars="100"/>
                    <w:rPr>
                      <w:rFonts w:hint="eastAsia" w:ascii="宋体" w:hAnsi="宋体" w:eastAsia="宋体" w:cs="宋体"/>
                      <w:lang w:val="en-US" w:eastAsia="zh-CN"/>
                    </w:rPr>
                  </w:pPr>
                  <w:r>
                    <w:rPr>
                      <w:rFonts w:hint="eastAsia" w:ascii="宋体" w:hAnsi="宋体" w:cs="宋体"/>
                      <w:lang w:val="en-US" w:eastAsia="zh-CN"/>
                    </w:rPr>
                    <w:t>7</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ind w:firstLine="0" w:firstLineChars="0"/>
                    <w:jc w:val="center"/>
                    <w:rPr>
                      <w:rFonts w:hint="default" w:ascii="宋体" w:hAnsi="宋体" w:eastAsia="宋体" w:cs="宋体"/>
                      <w:bCs/>
                      <w:lang w:val="en-US" w:eastAsia="zh-CN"/>
                    </w:rPr>
                  </w:pPr>
                  <w:r>
                    <w:rPr>
                      <w:rFonts w:hint="eastAsia" w:ascii="宋体" w:hAnsi="宋体" w:cs="宋体"/>
                      <w:bCs/>
                      <w:lang w:val="en-US" w:eastAsia="zh-CN"/>
                    </w:rPr>
                    <w:t>专业资格审查</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240" w:lineRule="auto"/>
                    <w:rPr>
                      <w:rFonts w:hint="eastAsia" w:ascii="宋体" w:hAnsi="宋体" w:eastAsia="宋体" w:cs="Times New Roman"/>
                      <w:sz w:val="21"/>
                      <w:szCs w:val="21"/>
                      <w:highlight w:val="none"/>
                      <w:lang w:val="en-US" w:eastAsia="zh-CN"/>
                    </w:rPr>
                  </w:pPr>
                  <w:r>
                    <w:rPr>
                      <w:rFonts w:hint="eastAsia" w:ascii="宋体" w:hAnsi="宋体" w:cs="Times New Roman"/>
                      <w:sz w:val="21"/>
                      <w:szCs w:val="21"/>
                      <w:highlight w:val="none"/>
                      <w:lang w:val="en-US" w:eastAsia="zh-CN"/>
                    </w:rPr>
                    <w:t>2022年度在县级以上行政主管部门完成社会稳定风险评估第三方机构备案，具体要求：提供备案证明（复印件加盖供应商公章）。</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210" w:firstLineChars="100"/>
                    <w:rPr>
                      <w:rFonts w:hint="default" w:ascii="宋体" w:hAnsi="宋体" w:eastAsia="宋体" w:cs="宋体"/>
                      <w:lang w:val="en-US" w:eastAsia="zh-CN"/>
                    </w:rPr>
                  </w:pPr>
                  <w:r>
                    <w:rPr>
                      <w:rFonts w:hint="eastAsia" w:ascii="宋体" w:hAnsi="宋体" w:cs="宋体"/>
                      <w:lang w:val="en-US" w:eastAsia="zh-CN"/>
                    </w:rPr>
                    <w:t>8</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不得具有的情形</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240" w:lineRule="auto"/>
                    <w:rPr>
                      <w:rFonts w:hint="eastAsia" w:ascii="宋体" w:hAnsi="宋体" w:eastAsia="宋体" w:cs="Times New Roman"/>
                      <w:sz w:val="21"/>
                      <w:szCs w:val="21"/>
                      <w:highlight w:val="none"/>
                      <w:lang w:val="en-US" w:eastAsia="zh-CN"/>
                    </w:rPr>
                  </w:pPr>
                  <w:r>
                    <w:rPr>
                      <w:rFonts w:hint="eastAsia" w:ascii="宋体" w:hAnsi="宋体" w:eastAsia="宋体" w:cs="宋体"/>
                      <w:lang w:val="en-US" w:eastAsia="zh-CN"/>
                    </w:rPr>
                    <w:t>响应人不得具有以下任一情形：</w:t>
                  </w:r>
                  <w:r>
                    <w:rPr>
                      <w:rFonts w:hint="eastAsia" w:ascii="宋体" w:hAnsi="宋体" w:cs="宋体"/>
                      <w:lang w:val="en-US" w:eastAsia="zh-CN"/>
                    </w:rPr>
                    <w:t>①、</w:t>
                  </w:r>
                  <w:r>
                    <w:rPr>
                      <w:rFonts w:hint="eastAsia" w:ascii="宋体" w:hAnsi="宋体" w:eastAsia="宋体" w:cs="Times New Roman"/>
                      <w:sz w:val="21"/>
                      <w:szCs w:val="21"/>
                      <w:highlight w:val="none"/>
                      <w:lang w:val="en-US" w:eastAsia="zh-CN"/>
                    </w:rPr>
                    <w:t>被政府取消投标资格记录期间的企业或个人投标；</w:t>
                  </w:r>
                </w:p>
                <w:p>
                  <w:pPr>
                    <w:widowControl/>
                    <w:spacing w:line="240" w:lineRule="auto"/>
                    <w:ind w:firstLine="0" w:firstLineChars="0"/>
                    <w:rPr>
                      <w:rFonts w:hint="default" w:ascii="宋体" w:hAnsi="宋体" w:eastAsia="宋体" w:cs="宋体"/>
                      <w:lang w:val="en-US" w:eastAsia="zh-CN"/>
                    </w:rPr>
                  </w:pPr>
                  <w:r>
                    <w:rPr>
                      <w:rFonts w:hint="eastAsia" w:ascii="宋体" w:hAnsi="宋体" w:eastAsia="宋体" w:cs="Times New Roman"/>
                      <w:sz w:val="21"/>
                      <w:szCs w:val="21"/>
                      <w:highlight w:val="none"/>
                      <w:lang w:val="en-US" w:eastAsia="zh-CN"/>
                    </w:rPr>
                    <w:t>②、单位负责人为同一人或者存在直接控股、管理关系的不同供应商，不得参加同一合同项下的政府采购活动；</w:t>
                  </w:r>
                  <w:r>
                    <w:rPr>
                      <w:rFonts w:hint="eastAsia" w:ascii="宋体" w:hAnsi="宋体" w:cs="宋体"/>
                      <w:lang w:val="en-US" w:eastAsia="zh-CN"/>
                    </w:rPr>
                    <w:t>③、</w:t>
                  </w:r>
                  <w:r>
                    <w:rPr>
                      <w:rFonts w:hint="eastAsia" w:ascii="宋体" w:hAnsi="宋体" w:eastAsia="宋体" w:cs="宋体"/>
                      <w:lang w:val="en-US" w:eastAsia="zh-CN"/>
                    </w:rPr>
                    <w:t>被责令停业的；</w:t>
                  </w:r>
                  <w:r>
                    <w:rPr>
                      <w:rFonts w:hint="eastAsia" w:ascii="宋体" w:hAnsi="宋体" w:cs="宋体"/>
                      <w:lang w:val="en-US" w:eastAsia="zh-CN"/>
                    </w:rPr>
                    <w:t>④、</w:t>
                  </w:r>
                  <w:r>
                    <w:rPr>
                      <w:rFonts w:hint="eastAsia" w:ascii="宋体" w:hAnsi="宋体" w:eastAsia="宋体" w:cs="宋体"/>
                      <w:lang w:val="en-US" w:eastAsia="zh-CN"/>
                    </w:rPr>
                    <w:t>被暂停或取消比选申请资格的；</w:t>
                  </w:r>
                  <w:r>
                    <w:rPr>
                      <w:rFonts w:hint="eastAsia" w:ascii="宋体" w:hAnsi="宋体" w:cs="宋体"/>
                      <w:lang w:val="en-US" w:eastAsia="zh-CN"/>
                    </w:rPr>
                    <w:t>⑤、</w:t>
                  </w:r>
                  <w:r>
                    <w:rPr>
                      <w:rFonts w:hint="eastAsia" w:ascii="宋体" w:hAnsi="宋体" w:eastAsia="宋体" w:cs="宋体"/>
                      <w:lang w:val="en-US" w:eastAsia="zh-CN"/>
                    </w:rPr>
                    <w:t>财产被接管或冻结的；</w:t>
                  </w:r>
                  <w:r>
                    <w:rPr>
                      <w:rFonts w:hint="eastAsia" w:ascii="宋体" w:hAnsi="宋体" w:cs="宋体"/>
                      <w:lang w:val="en-US" w:eastAsia="zh-CN"/>
                    </w:rPr>
                    <w:t>⑥、</w:t>
                  </w:r>
                  <w:r>
                    <w:rPr>
                      <w:rFonts w:hint="eastAsia" w:ascii="宋体" w:hAnsi="宋体" w:eastAsia="宋体" w:cs="宋体"/>
                      <w:lang w:val="en-US" w:eastAsia="zh-CN"/>
                    </w:rPr>
                    <w:t>近3年内有骗取成交、严重违约的——以承诺函作为证明材料</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210" w:firstLineChars="100"/>
                    <w:rPr>
                      <w:rFonts w:hint="default" w:ascii="宋体" w:hAnsi="宋体" w:eastAsia="宋体" w:cs="宋体"/>
                      <w:lang w:val="en-US" w:eastAsia="zh-CN"/>
                    </w:rPr>
                  </w:pPr>
                  <w:r>
                    <w:rPr>
                      <w:rFonts w:hint="eastAsia" w:ascii="宋体" w:hAnsi="宋体" w:cs="宋体"/>
                      <w:lang w:val="en-US" w:eastAsia="zh-CN"/>
                    </w:rPr>
                    <w:t>9</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无效响应的情形</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0" w:firstLineChars="0"/>
                    <w:rPr>
                      <w:rFonts w:hint="default" w:ascii="宋体" w:hAnsi="宋体" w:eastAsia="宋体" w:cs="宋体"/>
                      <w:lang w:val="en-US" w:eastAsia="zh-CN"/>
                    </w:rPr>
                  </w:pPr>
                  <w:r>
                    <w:rPr>
                      <w:rFonts w:hint="eastAsia" w:ascii="宋体" w:hAnsi="宋体" w:eastAsia="宋体" w:cs="宋体"/>
                      <w:lang w:val="en-US" w:eastAsia="zh-CN"/>
                    </w:rPr>
                    <w:t>其他无效响应的情形</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340" w:hRule="atLeast"/>
                <w:jc w:val="center"/>
              </w:trPr>
              <w:tc>
                <w:tcPr>
                  <w:tcW w:w="10553"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2"/>
                    <w:jc w:val="center"/>
                    <w:rPr>
                      <w:rFonts w:ascii="宋体" w:hAnsi="宋体" w:eastAsia="宋体" w:cs="宋体"/>
                      <w:b/>
                    </w:rPr>
                  </w:pPr>
                  <w:r>
                    <w:rPr>
                      <w:rFonts w:hint="eastAsia" w:ascii="宋体" w:hAnsi="宋体" w:eastAsia="宋体" w:cs="宋体"/>
                      <w:b/>
                    </w:rPr>
                    <w:t>资格审查结论（通过或不通过）</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ind w:firstLine="480"/>
                    <w:rPr>
                      <w:rFonts w:ascii="宋体" w:hAnsi="宋体" w:eastAsia="宋体" w:cs="宋体"/>
                    </w:rPr>
                  </w:pPr>
                </w:p>
              </w:tc>
            </w:tr>
            <w:tr>
              <w:tblPrEx>
                <w:tblCellMar>
                  <w:top w:w="0" w:type="dxa"/>
                  <w:left w:w="108" w:type="dxa"/>
                  <w:bottom w:w="0" w:type="dxa"/>
                  <w:right w:w="108" w:type="dxa"/>
                </w:tblCellMar>
              </w:tblPrEx>
              <w:trPr>
                <w:trHeight w:val="619" w:hRule="atLeast"/>
                <w:jc w:val="center"/>
              </w:trPr>
              <w:tc>
                <w:tcPr>
                  <w:tcW w:w="15090" w:type="dxa"/>
                  <w:gridSpan w:val="7"/>
                  <w:tcBorders>
                    <w:top w:val="single" w:color="auto" w:sz="4" w:space="0"/>
                    <w:left w:val="nil"/>
                    <w:bottom w:val="nil"/>
                    <w:right w:val="nil"/>
                  </w:tcBorders>
                  <w:shd w:val="clear" w:color="000000" w:fill="FFFFFF"/>
                  <w:noWrap w:val="0"/>
                  <w:vAlign w:val="center"/>
                </w:tcPr>
                <w:p>
                  <w:pPr>
                    <w:widowControl/>
                    <w:spacing w:line="240" w:lineRule="auto"/>
                    <w:ind w:firstLine="480"/>
                    <w:rPr>
                      <w:rFonts w:ascii="宋体" w:hAnsi="宋体" w:eastAsia="宋体" w:cs="宋体"/>
                    </w:rPr>
                  </w:pPr>
                  <w:r>
                    <w:rPr>
                      <w:rFonts w:hint="eastAsia" w:ascii="宋体" w:hAnsi="宋体" w:eastAsia="宋体" w:cs="宋体"/>
                      <w:lang w:val="en-US" w:eastAsia="zh-CN"/>
                    </w:rPr>
                    <w:t>磋商小组成员</w:t>
                  </w:r>
                  <w:r>
                    <w:rPr>
                      <w:rFonts w:hint="eastAsia" w:ascii="宋体" w:hAnsi="宋体" w:eastAsia="宋体" w:cs="宋体"/>
                    </w:rPr>
                    <w:t>（签字）：</w:t>
                  </w:r>
                </w:p>
              </w:tc>
            </w:tr>
          </w:tbl>
          <w:p>
            <w:pPr>
              <w:widowControl/>
              <w:spacing w:line="240" w:lineRule="auto"/>
              <w:rPr>
                <w:rFonts w:ascii="宋体" w:hAnsi="宋体" w:eastAsia="宋体" w:cs="宋体"/>
              </w:rPr>
            </w:pPr>
          </w:p>
        </w:tc>
      </w:tr>
    </w:tbl>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rPr>
          <w:rFonts w:hint="eastAsia"/>
          <w:sz w:val="32"/>
          <w:szCs w:val="32"/>
        </w:rPr>
      </w:pPr>
    </w:p>
    <w:p>
      <w:pPr>
        <w:pStyle w:val="7"/>
        <w:rPr>
          <w:rFonts w:hint="eastAsia"/>
          <w:sz w:val="32"/>
          <w:szCs w:val="32"/>
        </w:rPr>
      </w:pPr>
    </w:p>
    <w:p>
      <w:pPr>
        <w:rPr>
          <w:rFonts w:hint="eastAsia"/>
        </w:rPr>
        <w:sectPr>
          <w:pgSz w:w="16840" w:h="11907" w:orient="landscape"/>
          <w:pgMar w:top="1440" w:right="1400" w:bottom="1134" w:left="1134" w:header="851" w:footer="992" w:gutter="0"/>
          <w:cols w:space="720" w:num="1"/>
          <w:titlePg/>
          <w:docGrid w:type="linesAndChars" w:linePitch="312" w:charSpace="0"/>
        </w:sectPr>
      </w:pPr>
    </w:p>
    <w:p>
      <w:pPr>
        <w:spacing w:before="100" w:beforeAutospacing="1" w:line="240" w:lineRule="auto"/>
        <w:ind w:firstLine="0" w:firstLineChars="0"/>
        <w:jc w:val="center"/>
        <w:rPr>
          <w:rFonts w:ascii="宋体" w:hAnsi="宋体" w:eastAsia="宋体" w:cs="宋体"/>
        </w:rPr>
      </w:pPr>
      <w:r>
        <w:rPr>
          <w:rFonts w:hint="eastAsia" w:ascii="宋体" w:hAnsi="宋体" w:eastAsia="宋体" w:cs="宋体"/>
          <w:b/>
          <w:bCs/>
          <w:kern w:val="0"/>
          <w:sz w:val="36"/>
          <w:szCs w:val="36"/>
          <w:u w:val="single"/>
        </w:rPr>
        <w:t>评 分 表</w:t>
      </w:r>
    </w:p>
    <w:tbl>
      <w:tblPr>
        <w:tblStyle w:val="16"/>
        <w:tblW w:w="9658" w:type="dxa"/>
        <w:jc w:val="center"/>
        <w:tblLayout w:type="fixed"/>
        <w:tblCellMar>
          <w:top w:w="0" w:type="dxa"/>
          <w:left w:w="108" w:type="dxa"/>
          <w:bottom w:w="0" w:type="dxa"/>
          <w:right w:w="108" w:type="dxa"/>
        </w:tblCellMar>
      </w:tblPr>
      <w:tblGrid>
        <w:gridCol w:w="1087"/>
        <w:gridCol w:w="2310"/>
        <w:gridCol w:w="2895"/>
        <w:gridCol w:w="930"/>
        <w:gridCol w:w="810"/>
        <w:gridCol w:w="870"/>
        <w:gridCol w:w="756"/>
      </w:tblGrid>
      <w:tr>
        <w:tblPrEx>
          <w:tblCellMar>
            <w:top w:w="0" w:type="dxa"/>
            <w:left w:w="108" w:type="dxa"/>
            <w:bottom w:w="0" w:type="dxa"/>
            <w:right w:w="108" w:type="dxa"/>
          </w:tblCellMar>
        </w:tblPrEx>
        <w:trPr>
          <w:trHeight w:val="80" w:hRule="atLeast"/>
          <w:jc w:val="center"/>
        </w:trPr>
        <w:tc>
          <w:tcPr>
            <w:tcW w:w="9658" w:type="dxa"/>
            <w:gridSpan w:val="7"/>
            <w:tcBorders>
              <w:top w:val="nil"/>
              <w:left w:val="nil"/>
              <w:bottom w:val="nil"/>
              <w:right w:val="nil"/>
            </w:tcBorders>
            <w:shd w:val="clear" w:color="000000" w:fill="FFFFFF"/>
            <w:noWrap/>
            <w:vAlign w:val="center"/>
          </w:tcPr>
          <w:p>
            <w:pPr>
              <w:spacing w:before="0" w:beforeAutospacing="0" w:after="0" w:afterAutospacing="0" w:line="240" w:lineRule="auto"/>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项目名称：                                                   磋商日期：</w:t>
            </w:r>
          </w:p>
        </w:tc>
      </w:tr>
      <w:tr>
        <w:tblPrEx>
          <w:tblCellMar>
            <w:top w:w="0" w:type="dxa"/>
            <w:left w:w="108" w:type="dxa"/>
            <w:bottom w:w="0" w:type="dxa"/>
            <w:right w:w="108" w:type="dxa"/>
          </w:tblCellMar>
        </w:tblPrEx>
        <w:trPr>
          <w:trHeight w:val="739" w:hRule="atLeast"/>
          <w:jc w:val="center"/>
        </w:trPr>
        <w:tc>
          <w:tcPr>
            <w:tcW w:w="6292" w:type="dxa"/>
            <w:gridSpan w:val="3"/>
            <w:tcBorders>
              <w:top w:val="single" w:color="auto" w:sz="4" w:space="0"/>
              <w:left w:val="single" w:color="auto" w:sz="4" w:space="0"/>
              <w:bottom w:val="single" w:color="auto" w:sz="4" w:space="0"/>
              <w:right w:val="single" w:color="auto" w:sz="4" w:space="0"/>
              <w:tl2br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 xml:space="preserve">                         响应人名称</w:t>
            </w:r>
          </w:p>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评分项及评分标准</w:t>
            </w:r>
          </w:p>
        </w:tc>
        <w:tc>
          <w:tcPr>
            <w:tcW w:w="93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响应人1</w:t>
            </w:r>
          </w:p>
        </w:tc>
        <w:tc>
          <w:tcPr>
            <w:tcW w:w="81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响应人2</w:t>
            </w:r>
          </w:p>
        </w:tc>
        <w:tc>
          <w:tcPr>
            <w:tcW w:w="87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响应人3</w:t>
            </w: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响应人4</w:t>
            </w:r>
          </w:p>
        </w:tc>
      </w:tr>
      <w:tr>
        <w:tblPrEx>
          <w:tblCellMar>
            <w:top w:w="0" w:type="dxa"/>
            <w:left w:w="108" w:type="dxa"/>
            <w:bottom w:w="0" w:type="dxa"/>
            <w:right w:w="108" w:type="dxa"/>
          </w:tblCellMar>
        </w:tblPrEx>
        <w:trPr>
          <w:trHeight w:val="810" w:hRule="atLeast"/>
          <w:jc w:val="center"/>
        </w:trPr>
        <w:tc>
          <w:tcPr>
            <w:tcW w:w="1087" w:type="dxa"/>
            <w:tcBorders>
              <w:top w:val="nil"/>
              <w:left w:val="single" w:color="auto" w:sz="4" w:space="0"/>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 xml:space="preserve">价格分 </w:t>
            </w:r>
          </w:p>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(10分)</w:t>
            </w:r>
          </w:p>
        </w:tc>
        <w:tc>
          <w:tcPr>
            <w:tcW w:w="23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投标报价得分</w:t>
            </w:r>
          </w:p>
          <w:p>
            <w:pPr>
              <w:spacing w:before="0" w:beforeAutospacing="0" w:after="0" w:afterAutospacing="0" w:line="240" w:lineRule="auto"/>
              <w:jc w:val="center"/>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（10分）</w:t>
            </w:r>
          </w:p>
        </w:tc>
        <w:tc>
          <w:tcPr>
            <w:tcW w:w="2895"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投标报价分=（最低投标价/有效投标报价）×10</w:t>
            </w:r>
          </w:p>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说明：①评标基准价：满足磋商文件要求且为最低投标价。</w:t>
            </w:r>
          </w:p>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②有效投标报价：有效投标人报价。</w:t>
            </w:r>
          </w:p>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③价格分计算四舍五入后保留2位小数点。</w:t>
            </w:r>
          </w:p>
        </w:tc>
        <w:tc>
          <w:tcPr>
            <w:tcW w:w="93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7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756"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r>
      <w:tr>
        <w:tblPrEx>
          <w:tblCellMar>
            <w:top w:w="0" w:type="dxa"/>
            <w:left w:w="108" w:type="dxa"/>
            <w:bottom w:w="0" w:type="dxa"/>
            <w:right w:w="108" w:type="dxa"/>
          </w:tblCellMar>
        </w:tblPrEx>
        <w:trPr>
          <w:trHeight w:val="2133" w:hRule="atLeast"/>
          <w:jc w:val="center"/>
        </w:trPr>
        <w:tc>
          <w:tcPr>
            <w:tcW w:w="1087" w:type="dxa"/>
            <w:vMerge w:val="restart"/>
            <w:tcBorders>
              <w:top w:val="nil"/>
              <w:left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技术分</w:t>
            </w:r>
          </w:p>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（50分）</w:t>
            </w:r>
          </w:p>
        </w:tc>
        <w:tc>
          <w:tcPr>
            <w:tcW w:w="23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对本项目的理解</w:t>
            </w:r>
          </w:p>
          <w:p>
            <w:pPr>
              <w:spacing w:before="0" w:beforeAutospacing="0" w:after="0" w:afterAutospacing="0" w:line="240" w:lineRule="auto"/>
              <w:jc w:val="center"/>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（0-15分）</w:t>
            </w:r>
          </w:p>
        </w:tc>
        <w:tc>
          <w:tcPr>
            <w:tcW w:w="2895"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1、供应商对本项目的特点充分认识、理解准确，得15-10分；对本项目有一定的理解，得9-5分；对本项目认识不足，不符合实际，得4-0分。</w:t>
            </w:r>
          </w:p>
        </w:tc>
        <w:tc>
          <w:tcPr>
            <w:tcW w:w="93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7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756"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r>
      <w:tr>
        <w:tblPrEx>
          <w:tblCellMar>
            <w:top w:w="0" w:type="dxa"/>
            <w:left w:w="108" w:type="dxa"/>
            <w:bottom w:w="0" w:type="dxa"/>
            <w:right w:w="108" w:type="dxa"/>
          </w:tblCellMar>
        </w:tblPrEx>
        <w:trPr>
          <w:trHeight w:val="2133" w:hRule="atLeast"/>
          <w:jc w:val="center"/>
        </w:trPr>
        <w:tc>
          <w:tcPr>
            <w:tcW w:w="1087" w:type="dxa"/>
            <w:vMerge w:val="continue"/>
            <w:tcBorders>
              <w:left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23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技术实施方案（0-20分）</w:t>
            </w:r>
          </w:p>
        </w:tc>
        <w:tc>
          <w:tcPr>
            <w:tcW w:w="2895"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对供应商的技术实施方案对比评价，是否熟悉本项目服务需求，技术实施步骤是否明晰，实施过程是否规范管理，设备投入是否满足服务开展需要等：优：20-16分；良：16-12分；中：12-6分；差：6-0分。</w:t>
            </w:r>
          </w:p>
        </w:tc>
        <w:tc>
          <w:tcPr>
            <w:tcW w:w="93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7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756"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r>
      <w:tr>
        <w:tblPrEx>
          <w:tblCellMar>
            <w:top w:w="0" w:type="dxa"/>
            <w:left w:w="108" w:type="dxa"/>
            <w:bottom w:w="0" w:type="dxa"/>
            <w:right w:w="108" w:type="dxa"/>
          </w:tblCellMar>
        </w:tblPrEx>
        <w:trPr>
          <w:trHeight w:val="3364" w:hRule="atLeast"/>
          <w:jc w:val="center"/>
        </w:trPr>
        <w:tc>
          <w:tcPr>
            <w:tcW w:w="1087" w:type="dxa"/>
            <w:vMerge w:val="continue"/>
            <w:tcBorders>
              <w:left w:val="single" w:color="auto" w:sz="4" w:space="0"/>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23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质量与进度保证措施（0-15分）</w:t>
            </w:r>
          </w:p>
        </w:tc>
        <w:tc>
          <w:tcPr>
            <w:tcW w:w="2895"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质量与进度保证措施有针对性、可操作性强、符合实际，得15-10分；质量与进度保证措施较有针对性、具有一定的针对性、较符合实际，得9-5分；质量与进度保证措施可操作性不强，不能完全满足项目需要，得4-1分；质量与进度保证措施不符合项目要求或缺项，得0分。</w:t>
            </w:r>
          </w:p>
        </w:tc>
        <w:tc>
          <w:tcPr>
            <w:tcW w:w="93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7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756"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r>
      <w:tr>
        <w:tblPrEx>
          <w:tblCellMar>
            <w:top w:w="0" w:type="dxa"/>
            <w:left w:w="108" w:type="dxa"/>
            <w:bottom w:w="0" w:type="dxa"/>
            <w:right w:w="108" w:type="dxa"/>
          </w:tblCellMar>
        </w:tblPrEx>
        <w:trPr>
          <w:trHeight w:val="427" w:hRule="atLeast"/>
          <w:jc w:val="center"/>
        </w:trPr>
        <w:tc>
          <w:tcPr>
            <w:tcW w:w="1087" w:type="dxa"/>
            <w:vMerge w:val="restart"/>
            <w:tcBorders>
              <w:top w:val="single" w:color="auto" w:sz="4" w:space="0"/>
              <w:left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商务分</w:t>
            </w:r>
          </w:p>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（40分）</w:t>
            </w:r>
          </w:p>
        </w:tc>
        <w:tc>
          <w:tcPr>
            <w:tcW w:w="231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拟投入人员构成（10分）</w:t>
            </w:r>
          </w:p>
        </w:tc>
        <w:tc>
          <w:tcPr>
            <w:tcW w:w="2895"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1、评审小组根据项目负责人具有本科及以上学历得6分；未提供得0分；提供身份证、毕业证复印件或扫描件（加盖供应商公章）。</w:t>
            </w:r>
          </w:p>
          <w:p>
            <w:pPr>
              <w:spacing w:before="0" w:beforeAutospacing="0" w:after="0" w:afterAutospacing="0" w:line="240" w:lineRule="auto"/>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2、评审小组根据项目其他人员具有本科及以上学历每人得2分；满分4分。提供身份证、毕业证复印件或扫描件（加盖供应商公章）。</w:t>
            </w:r>
          </w:p>
        </w:tc>
        <w:tc>
          <w:tcPr>
            <w:tcW w:w="93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7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756"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r>
      <w:tr>
        <w:tblPrEx>
          <w:tblCellMar>
            <w:top w:w="0" w:type="dxa"/>
            <w:left w:w="108" w:type="dxa"/>
            <w:bottom w:w="0" w:type="dxa"/>
            <w:right w:w="108" w:type="dxa"/>
          </w:tblCellMar>
        </w:tblPrEx>
        <w:trPr>
          <w:trHeight w:val="683" w:hRule="atLeast"/>
          <w:jc w:val="center"/>
        </w:trPr>
        <w:tc>
          <w:tcPr>
            <w:tcW w:w="1087" w:type="dxa"/>
            <w:vMerge w:val="continue"/>
            <w:tcBorders>
              <w:left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231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售后服务（5分）</w:t>
            </w:r>
          </w:p>
        </w:tc>
        <w:tc>
          <w:tcPr>
            <w:tcW w:w="2895"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default"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售后达到现场时间能力评价：积极配合工作时效为5天内能力优秀5分；时效为7天内能力良好4分；时效为10天内能力一般1分；时效超过20天的不得分。（自行承诺，格式自拟）</w:t>
            </w:r>
          </w:p>
        </w:tc>
        <w:tc>
          <w:tcPr>
            <w:tcW w:w="93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r>
      <w:tr>
        <w:tblPrEx>
          <w:tblCellMar>
            <w:top w:w="0" w:type="dxa"/>
            <w:left w:w="108" w:type="dxa"/>
            <w:bottom w:w="0" w:type="dxa"/>
            <w:right w:w="108" w:type="dxa"/>
          </w:tblCellMar>
        </w:tblPrEx>
        <w:trPr>
          <w:trHeight w:val="683" w:hRule="atLeast"/>
          <w:jc w:val="center"/>
        </w:trPr>
        <w:tc>
          <w:tcPr>
            <w:tcW w:w="1087" w:type="dxa"/>
            <w:vMerge w:val="continue"/>
            <w:tcBorders>
              <w:left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231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eastAsia" w:ascii="宋体" w:eastAsia="宋体" w:cs="Times New Roman"/>
                <w:color w:val="000000" w:themeColor="text1"/>
                <w:kern w:val="2"/>
                <w:sz w:val="20"/>
                <w:szCs w:val="20"/>
                <w:highlight w:val="yellow"/>
                <w:lang w:val="en-US" w:eastAsia="zh-CN"/>
                <w14:textFill>
                  <w14:solidFill>
                    <w14:schemeClr w14:val="tx1"/>
                  </w14:solidFill>
                </w14:textFill>
              </w:rPr>
            </w:pPr>
            <w:r>
              <w:rPr>
                <w:rFonts w:hint="eastAsia" w:ascii="宋体" w:eastAsia="宋体" w:cs="Times New Roman"/>
                <w:color w:val="000000" w:themeColor="text1"/>
                <w:kern w:val="2"/>
                <w:sz w:val="20"/>
                <w:szCs w:val="20"/>
                <w:highlight w:val="yellow"/>
                <w:lang w:val="en-US" w:eastAsia="zh-CN"/>
                <w14:textFill>
                  <w14:solidFill>
                    <w14:schemeClr w14:val="tx1"/>
                  </w14:solidFill>
                </w14:textFill>
              </w:rPr>
              <w:t>服务能力评价</w:t>
            </w:r>
          </w:p>
          <w:p>
            <w:pPr>
              <w:spacing w:before="0" w:beforeAutospacing="0" w:after="0" w:afterAutospacing="0" w:line="240" w:lineRule="auto"/>
              <w:jc w:val="center"/>
              <w:rPr>
                <w:rFonts w:hint="eastAsia" w:ascii="宋体" w:eastAsia="宋体" w:cs="Times New Roman"/>
                <w:color w:val="000000" w:themeColor="text1"/>
                <w:kern w:val="2"/>
                <w:sz w:val="20"/>
                <w:szCs w:val="20"/>
                <w:highlight w:val="yellow"/>
                <w:lang w:val="en-US" w:eastAsia="zh-CN"/>
                <w14:textFill>
                  <w14:solidFill>
                    <w14:schemeClr w14:val="tx1"/>
                  </w14:solidFill>
                </w14:textFill>
              </w:rPr>
            </w:pPr>
            <w:r>
              <w:rPr>
                <w:rFonts w:hint="eastAsia" w:ascii="宋体" w:eastAsia="宋体" w:cs="Times New Roman"/>
                <w:color w:val="000000" w:themeColor="text1"/>
                <w:kern w:val="2"/>
                <w:sz w:val="20"/>
                <w:szCs w:val="20"/>
                <w:highlight w:val="yellow"/>
                <w:lang w:val="en-US" w:eastAsia="zh-CN"/>
                <w14:textFill>
                  <w14:solidFill>
                    <w14:schemeClr w14:val="tx1"/>
                  </w14:solidFill>
                </w14:textFill>
              </w:rPr>
              <w:t>（10分）</w:t>
            </w:r>
          </w:p>
        </w:tc>
        <w:tc>
          <w:tcPr>
            <w:tcW w:w="2895"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default" w:ascii="宋体" w:eastAsia="宋体" w:cs="Times New Roman"/>
                <w:color w:val="000000" w:themeColor="text1"/>
                <w:kern w:val="2"/>
                <w:sz w:val="20"/>
                <w:szCs w:val="20"/>
                <w:highlight w:val="yellow"/>
                <w:lang w:val="en-US" w:eastAsia="zh-CN"/>
                <w14:textFill>
                  <w14:solidFill>
                    <w14:schemeClr w14:val="tx1"/>
                  </w14:solidFill>
                </w14:textFill>
              </w:rPr>
            </w:pPr>
            <w:r>
              <w:rPr>
                <w:rFonts w:hint="eastAsia" w:ascii="宋体" w:eastAsia="宋体" w:cs="Times New Roman"/>
                <w:color w:val="000000" w:themeColor="text1"/>
                <w:kern w:val="2"/>
                <w:sz w:val="20"/>
                <w:szCs w:val="20"/>
                <w:highlight w:val="yellow"/>
                <w:lang w:val="en-US" w:eastAsia="zh-CN"/>
                <w14:textFill>
                  <w14:solidFill>
                    <w14:schemeClr w14:val="tx1"/>
                  </w14:solidFill>
                </w14:textFill>
              </w:rPr>
              <w:t>提供工程咨询备案证明截图（查询网站：全国投资项目在线审批监管平台（http://www.tzxm.gov.cn/）），截图符合要求的得10分。</w:t>
            </w:r>
          </w:p>
        </w:tc>
        <w:tc>
          <w:tcPr>
            <w:tcW w:w="93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r>
      <w:tr>
        <w:tblPrEx>
          <w:tblCellMar>
            <w:top w:w="0" w:type="dxa"/>
            <w:left w:w="108" w:type="dxa"/>
            <w:bottom w:w="0" w:type="dxa"/>
            <w:right w:w="108" w:type="dxa"/>
          </w:tblCellMar>
        </w:tblPrEx>
        <w:trPr>
          <w:trHeight w:val="2419" w:hRule="atLeast"/>
          <w:jc w:val="center"/>
        </w:trPr>
        <w:tc>
          <w:tcPr>
            <w:tcW w:w="1087" w:type="dxa"/>
            <w:vMerge w:val="continue"/>
            <w:tcBorders>
              <w:left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231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default" w:ascii="宋体" w:eastAsia="宋体" w:cs="Times New Roman"/>
                <w:color w:val="0000FF"/>
                <w:kern w:val="2"/>
                <w:sz w:val="20"/>
                <w:szCs w:val="20"/>
                <w:lang w:val="en-US" w:eastAsia="zh-CN"/>
              </w:rPr>
            </w:pPr>
            <w:r>
              <w:rPr>
                <w:rFonts w:hint="eastAsia" w:ascii="宋体" w:eastAsia="宋体" w:cs="Times New Roman"/>
                <w:color w:val="0000FF"/>
                <w:kern w:val="2"/>
                <w:sz w:val="20"/>
                <w:szCs w:val="20"/>
                <w:lang w:val="en-US" w:eastAsia="zh-CN"/>
              </w:rPr>
              <w:t>履约经验（0-</w:t>
            </w:r>
            <w:r>
              <w:rPr>
                <w:rFonts w:hint="eastAsia" w:ascii="宋体" w:cs="Times New Roman"/>
                <w:color w:val="0000FF"/>
                <w:kern w:val="2"/>
                <w:sz w:val="20"/>
                <w:szCs w:val="20"/>
                <w:lang w:val="en-US" w:eastAsia="zh-CN"/>
              </w:rPr>
              <w:t>15</w:t>
            </w:r>
            <w:r>
              <w:rPr>
                <w:rFonts w:hint="eastAsia" w:ascii="宋体" w:eastAsia="宋体" w:cs="Times New Roman"/>
                <w:color w:val="0000FF"/>
                <w:kern w:val="2"/>
                <w:sz w:val="20"/>
                <w:szCs w:val="20"/>
                <w:lang w:val="en-US" w:eastAsia="zh-CN"/>
              </w:rPr>
              <w:t>分）</w:t>
            </w:r>
          </w:p>
        </w:tc>
        <w:tc>
          <w:tcPr>
            <w:tcW w:w="2895"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default" w:ascii="宋体" w:eastAsia="宋体" w:cs="Times New Roman"/>
                <w:color w:val="0000FF"/>
                <w:kern w:val="2"/>
                <w:sz w:val="20"/>
                <w:szCs w:val="20"/>
                <w:lang w:val="en-US" w:eastAsia="zh-CN"/>
              </w:rPr>
            </w:pPr>
            <w:r>
              <w:rPr>
                <w:rFonts w:hint="eastAsia" w:ascii="宋体" w:eastAsia="宋体" w:cs="Times New Roman"/>
                <w:color w:val="0000FF"/>
                <w:kern w:val="2"/>
                <w:sz w:val="20"/>
                <w:szCs w:val="20"/>
                <w:lang w:val="en-US" w:eastAsia="zh-CN"/>
              </w:rPr>
              <w:t>供应商应具有类似项目的履约能力，近5年承接过类似</w:t>
            </w:r>
            <w:r>
              <w:rPr>
                <w:rFonts w:hint="eastAsia" w:ascii="宋体" w:cs="Times New Roman"/>
                <w:color w:val="0000FF"/>
                <w:kern w:val="2"/>
                <w:sz w:val="20"/>
                <w:szCs w:val="20"/>
                <w:lang w:val="en-US" w:eastAsia="zh-CN"/>
              </w:rPr>
              <w:t>社会稳定风险评估</w:t>
            </w:r>
            <w:r>
              <w:rPr>
                <w:rFonts w:hint="eastAsia" w:ascii="宋体" w:eastAsia="宋体" w:cs="Times New Roman"/>
                <w:color w:val="0000FF"/>
                <w:kern w:val="2"/>
                <w:sz w:val="20"/>
                <w:szCs w:val="20"/>
                <w:lang w:val="en-US" w:eastAsia="zh-CN"/>
              </w:rPr>
              <w:t>编制的，每提供1个得5分，满分</w:t>
            </w:r>
            <w:r>
              <w:rPr>
                <w:rFonts w:hint="eastAsia" w:ascii="宋体" w:cs="Times New Roman"/>
                <w:color w:val="0000FF"/>
                <w:kern w:val="2"/>
                <w:sz w:val="20"/>
                <w:szCs w:val="20"/>
                <w:lang w:val="en-US" w:eastAsia="zh-CN"/>
              </w:rPr>
              <w:t>15</w:t>
            </w:r>
            <w:r>
              <w:rPr>
                <w:rFonts w:hint="eastAsia" w:ascii="宋体" w:eastAsia="宋体" w:cs="Times New Roman"/>
                <w:color w:val="0000FF"/>
                <w:kern w:val="2"/>
                <w:sz w:val="20"/>
                <w:szCs w:val="20"/>
                <w:lang w:val="en-US" w:eastAsia="zh-CN"/>
              </w:rPr>
              <w:t>分。提供合同或协议书复印件或扫描件（加盖供应商公章）</w:t>
            </w:r>
          </w:p>
        </w:tc>
        <w:tc>
          <w:tcPr>
            <w:tcW w:w="93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r>
      <w:tr>
        <w:tblPrEx>
          <w:tblCellMar>
            <w:top w:w="0" w:type="dxa"/>
            <w:left w:w="108" w:type="dxa"/>
            <w:bottom w:w="0" w:type="dxa"/>
            <w:right w:w="108" w:type="dxa"/>
          </w:tblCellMar>
        </w:tblPrEx>
        <w:trPr>
          <w:trHeight w:val="465" w:hRule="atLeast"/>
          <w:jc w:val="center"/>
        </w:trPr>
        <w:tc>
          <w:tcPr>
            <w:tcW w:w="33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得分</w:t>
            </w:r>
          </w:p>
        </w:tc>
        <w:tc>
          <w:tcPr>
            <w:tcW w:w="2895"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jc w:val="center"/>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100分</w:t>
            </w:r>
          </w:p>
        </w:tc>
        <w:tc>
          <w:tcPr>
            <w:tcW w:w="93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1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870" w:type="dxa"/>
            <w:tcBorders>
              <w:top w:val="nil"/>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c>
          <w:tcPr>
            <w:tcW w:w="756" w:type="dxa"/>
            <w:tcBorders>
              <w:top w:val="single" w:color="auto" w:sz="4" w:space="0"/>
              <w:left w:val="nil"/>
              <w:bottom w:val="single" w:color="auto" w:sz="4" w:space="0"/>
              <w:right w:val="single" w:color="auto" w:sz="4" w:space="0"/>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9658" w:type="dxa"/>
            <w:gridSpan w:val="7"/>
            <w:tcBorders>
              <w:top w:val="nil"/>
              <w:left w:val="nil"/>
              <w:bottom w:val="nil"/>
              <w:right w:val="nil"/>
            </w:tcBorders>
            <w:shd w:val="clear" w:color="000000" w:fill="FFFFFF"/>
            <w:noWrap/>
            <w:vAlign w:val="center"/>
          </w:tcPr>
          <w:p>
            <w:pPr>
              <w:spacing w:before="0" w:beforeAutospacing="0" w:after="0" w:afterAutospacing="0" w:line="240" w:lineRule="auto"/>
              <w:rPr>
                <w:rFonts w:hint="eastAsia" w:ascii="宋体" w:eastAsia="宋体" w:cs="Times New Roman"/>
                <w:color w:val="000000" w:themeColor="text1"/>
                <w:kern w:val="2"/>
                <w:sz w:val="20"/>
                <w:szCs w:val="20"/>
                <w:lang w:val="en-US" w:eastAsia="zh-CN"/>
                <w14:textFill>
                  <w14:solidFill>
                    <w14:schemeClr w14:val="tx1"/>
                  </w14:solidFill>
                </w14:textFill>
              </w:rPr>
            </w:pPr>
            <w:r>
              <w:rPr>
                <w:rFonts w:hint="eastAsia" w:ascii="宋体" w:eastAsia="宋体" w:cs="Times New Roman"/>
                <w:color w:val="000000" w:themeColor="text1"/>
                <w:kern w:val="2"/>
                <w:sz w:val="20"/>
                <w:szCs w:val="20"/>
                <w:lang w:val="en-US" w:eastAsia="zh-CN"/>
                <w14:textFill>
                  <w14:solidFill>
                    <w14:schemeClr w14:val="tx1"/>
                  </w14:solidFill>
                </w14:textFill>
              </w:rPr>
              <w:t>磋商小组（签字）：</w:t>
            </w: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spacing w:after="0" w:afterAutospacing="0" w:line="240" w:lineRule="auto"/>
        <w:jc w:val="center"/>
        <w:rPr>
          <w:rFonts w:hint="eastAsia" w:ascii="宋体" w:cs="宋体"/>
          <w:color w:val="auto"/>
          <w:sz w:val="24"/>
          <w:highlight w:val="none"/>
        </w:rPr>
      </w:pPr>
      <w:r>
        <w:rPr>
          <w:rFonts w:hint="eastAsia" w:ascii="宋体" w:cs="宋体"/>
          <w:b/>
          <w:bCs/>
          <w:color w:val="auto"/>
          <w:kern w:val="0"/>
          <w:sz w:val="36"/>
          <w:szCs w:val="36"/>
          <w:highlight w:val="none"/>
          <w:u w:val="single"/>
        </w:rPr>
        <w:t>价 格 分 值 计 算 表</w:t>
      </w:r>
    </w:p>
    <w:tbl>
      <w:tblPr>
        <w:tblStyle w:val="16"/>
        <w:tblW w:w="9216" w:type="dxa"/>
        <w:jc w:val="center"/>
        <w:tblLayout w:type="fixed"/>
        <w:tblCellMar>
          <w:top w:w="0" w:type="dxa"/>
          <w:left w:w="108" w:type="dxa"/>
          <w:bottom w:w="0" w:type="dxa"/>
          <w:right w:w="108" w:type="dxa"/>
        </w:tblCellMar>
      </w:tblPr>
      <w:tblGrid>
        <w:gridCol w:w="461"/>
        <w:gridCol w:w="3181"/>
        <w:gridCol w:w="936"/>
        <w:gridCol w:w="1517"/>
        <w:gridCol w:w="1318"/>
        <w:gridCol w:w="876"/>
        <w:gridCol w:w="864"/>
        <w:gridCol w:w="63"/>
      </w:tblGrid>
      <w:tr>
        <w:tblPrEx>
          <w:tblCellMar>
            <w:top w:w="0" w:type="dxa"/>
            <w:left w:w="108" w:type="dxa"/>
            <w:bottom w:w="0" w:type="dxa"/>
            <w:right w:w="108" w:type="dxa"/>
          </w:tblCellMar>
        </w:tblPrEx>
        <w:trPr>
          <w:trHeight w:val="420" w:hRule="atLeast"/>
          <w:jc w:val="center"/>
        </w:trPr>
        <w:tc>
          <w:tcPr>
            <w:tcW w:w="9216" w:type="dxa"/>
            <w:gridSpan w:val="8"/>
            <w:tcBorders>
              <w:top w:val="nil"/>
              <w:left w:val="nil"/>
              <w:bottom w:val="nil"/>
              <w:right w:val="nil"/>
            </w:tcBorders>
            <w:shd w:val="clear" w:color="000000" w:fill="FFFFFF"/>
            <w:noWrap/>
            <w:vAlign w:val="top"/>
          </w:tcPr>
          <w:p>
            <w:pPr>
              <w:spacing w:line="240" w:lineRule="auto"/>
              <w:jc w:val="left"/>
              <w:rPr>
                <w:rFonts w:hint="eastAsia" w:ascii="宋体" w:cs="宋体"/>
                <w:color w:val="auto"/>
                <w:sz w:val="20"/>
                <w:szCs w:val="20"/>
                <w:highlight w:val="none"/>
              </w:rPr>
            </w:pPr>
            <w:r>
              <w:rPr>
                <w:rFonts w:hint="eastAsia" w:ascii="宋体" w:cs="宋体"/>
                <w:color w:val="auto"/>
                <w:sz w:val="20"/>
                <w:szCs w:val="20"/>
                <w:highlight w:val="none"/>
              </w:rPr>
              <w:t>项目名称：</w:t>
            </w:r>
          </w:p>
        </w:tc>
      </w:tr>
      <w:tr>
        <w:tblPrEx>
          <w:tblCellMar>
            <w:top w:w="0" w:type="dxa"/>
            <w:left w:w="108" w:type="dxa"/>
            <w:bottom w:w="0" w:type="dxa"/>
            <w:right w:w="108" w:type="dxa"/>
          </w:tblCellMar>
        </w:tblPrEx>
        <w:trPr>
          <w:trHeight w:val="420" w:hRule="atLeast"/>
          <w:jc w:val="center"/>
        </w:trPr>
        <w:tc>
          <w:tcPr>
            <w:tcW w:w="9216" w:type="dxa"/>
            <w:gridSpan w:val="8"/>
            <w:tcBorders>
              <w:top w:val="nil"/>
              <w:left w:val="nil"/>
              <w:bottom w:val="nil"/>
              <w:right w:val="nil"/>
            </w:tcBorders>
            <w:shd w:val="clear" w:color="000000" w:fill="FFFFFF"/>
            <w:noWrap/>
            <w:vAlign w:val="top"/>
          </w:tcPr>
          <w:p>
            <w:pPr>
              <w:spacing w:line="240" w:lineRule="auto"/>
              <w:jc w:val="left"/>
              <w:rPr>
                <w:rFonts w:hint="eastAsia" w:ascii="宋体" w:cs="宋体"/>
                <w:color w:val="auto"/>
                <w:sz w:val="20"/>
                <w:szCs w:val="20"/>
                <w:highlight w:val="none"/>
              </w:rPr>
            </w:pPr>
            <w:r>
              <w:rPr>
                <w:rFonts w:hint="eastAsia" w:ascii="宋体" w:cs="宋体"/>
                <w:color w:val="auto"/>
                <w:sz w:val="20"/>
                <w:szCs w:val="20"/>
                <w:highlight w:val="none"/>
                <w:lang w:val="en-US" w:eastAsia="zh-CN"/>
              </w:rPr>
              <w:t>磋商</w:t>
            </w:r>
            <w:r>
              <w:rPr>
                <w:rFonts w:hint="eastAsia" w:ascii="宋体" w:cs="宋体"/>
                <w:color w:val="auto"/>
                <w:sz w:val="20"/>
                <w:szCs w:val="20"/>
                <w:highlight w:val="none"/>
              </w:rPr>
              <w:t>地点：</w:t>
            </w:r>
            <w:r>
              <w:rPr>
                <w:rFonts w:hint="eastAsia" w:ascii="宋体" w:cs="宋体"/>
                <w:color w:val="auto"/>
                <w:sz w:val="20"/>
                <w:szCs w:val="20"/>
                <w:highlight w:val="none"/>
                <w:lang w:val="en-US" w:eastAsia="zh-CN"/>
              </w:rPr>
              <w:t xml:space="preserve">                                        </w:t>
            </w:r>
            <w:r>
              <w:rPr>
                <w:rFonts w:hint="eastAsia" w:ascii="宋体" w:cs="宋体"/>
                <w:color w:val="auto"/>
                <w:sz w:val="20"/>
                <w:szCs w:val="20"/>
                <w:highlight w:val="none"/>
              </w:rPr>
              <w:t xml:space="preserve">         </w:t>
            </w:r>
            <w:r>
              <w:rPr>
                <w:rFonts w:hint="eastAsia" w:ascii="宋体" w:cs="宋体"/>
                <w:color w:val="auto"/>
                <w:sz w:val="20"/>
                <w:szCs w:val="20"/>
                <w:highlight w:val="none"/>
                <w:lang w:val="en-US" w:eastAsia="zh-CN"/>
              </w:rPr>
              <w:t xml:space="preserve">                    </w:t>
            </w:r>
            <w:r>
              <w:rPr>
                <w:rFonts w:hint="eastAsia" w:ascii="宋体" w:cs="宋体"/>
                <w:color w:val="auto"/>
                <w:sz w:val="20"/>
                <w:szCs w:val="20"/>
                <w:highlight w:val="none"/>
              </w:rPr>
              <w:t xml:space="preserve"> 202</w:t>
            </w:r>
            <w:r>
              <w:rPr>
                <w:rFonts w:hint="eastAsia" w:ascii="宋体" w:cs="宋体"/>
                <w:color w:val="auto"/>
                <w:sz w:val="20"/>
                <w:szCs w:val="20"/>
                <w:highlight w:val="none"/>
                <w:lang w:val="en-US" w:eastAsia="zh-CN"/>
              </w:rPr>
              <w:t>2</w:t>
            </w:r>
            <w:r>
              <w:rPr>
                <w:rFonts w:hint="eastAsia" w:ascii="宋体" w:cs="宋体"/>
                <w:color w:val="auto"/>
                <w:sz w:val="20"/>
                <w:szCs w:val="20"/>
                <w:highlight w:val="none"/>
              </w:rPr>
              <w:t>.X.X</w:t>
            </w:r>
          </w:p>
        </w:tc>
      </w:tr>
      <w:tr>
        <w:tblPrEx>
          <w:tblCellMar>
            <w:top w:w="0" w:type="dxa"/>
            <w:left w:w="108" w:type="dxa"/>
            <w:bottom w:w="0" w:type="dxa"/>
            <w:right w:w="108" w:type="dxa"/>
          </w:tblCellMar>
        </w:tblPrEx>
        <w:trPr>
          <w:gridAfter w:val="1"/>
          <w:wAfter w:w="63" w:type="dxa"/>
          <w:trHeight w:val="1005" w:hRule="atLeast"/>
          <w:jc w:val="center"/>
        </w:trPr>
        <w:tc>
          <w:tcPr>
            <w:tcW w:w="4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序号</w:t>
            </w:r>
          </w:p>
        </w:tc>
        <w:tc>
          <w:tcPr>
            <w:tcW w:w="3181"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供应商名称</w:t>
            </w:r>
          </w:p>
        </w:tc>
        <w:tc>
          <w:tcPr>
            <w:tcW w:w="936"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投标报价（元）</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default" w:ascii="宋体" w:eastAsia="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中小企业扣除报价（元）</w:t>
            </w:r>
          </w:p>
        </w:tc>
        <w:tc>
          <w:tcPr>
            <w:tcW w:w="1318"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评标基准价（元）</w:t>
            </w:r>
          </w:p>
        </w:tc>
        <w:tc>
          <w:tcPr>
            <w:tcW w:w="876"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eastAsia="宋体" w:cs="宋体"/>
                <w:color w:val="auto"/>
                <w:kern w:val="0"/>
                <w:sz w:val="20"/>
                <w:szCs w:val="20"/>
                <w:highlight w:val="none"/>
                <w:lang w:eastAsia="zh-CN"/>
              </w:rPr>
            </w:pPr>
            <w:r>
              <w:rPr>
                <w:rFonts w:hint="eastAsia" w:ascii="宋体" w:cs="宋体"/>
                <w:color w:val="auto"/>
                <w:kern w:val="0"/>
                <w:sz w:val="20"/>
                <w:szCs w:val="20"/>
                <w:highlight w:val="none"/>
              </w:rPr>
              <w:t>价格</w:t>
            </w:r>
          </w:p>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分值</w:t>
            </w:r>
          </w:p>
        </w:tc>
        <w:tc>
          <w:tcPr>
            <w:tcW w:w="864"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得分</w:t>
            </w:r>
          </w:p>
        </w:tc>
      </w:tr>
      <w:tr>
        <w:tblPrEx>
          <w:tblCellMar>
            <w:top w:w="0" w:type="dxa"/>
            <w:left w:w="108" w:type="dxa"/>
            <w:bottom w:w="0" w:type="dxa"/>
            <w:right w:w="108" w:type="dxa"/>
          </w:tblCellMar>
        </w:tblPrEx>
        <w:trPr>
          <w:gridAfter w:val="1"/>
          <w:wAfter w:w="63" w:type="dxa"/>
          <w:trHeight w:val="70" w:hRule="atLeast"/>
          <w:jc w:val="center"/>
        </w:trPr>
        <w:tc>
          <w:tcPr>
            <w:tcW w:w="4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r>
              <w:rPr>
                <w:rFonts w:hint="eastAsia" w:ascii="宋体" w:cs="宋体"/>
                <w:color w:val="auto"/>
                <w:kern w:val="0"/>
                <w:sz w:val="20"/>
                <w:szCs w:val="20"/>
                <w:highlight w:val="none"/>
              </w:rPr>
              <w:t>1</w:t>
            </w:r>
          </w:p>
        </w:tc>
        <w:tc>
          <w:tcPr>
            <w:tcW w:w="3181"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936"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1517"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1318"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876"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864"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r>
              <w:rPr>
                <w:rFonts w:hint="eastAsia" w:ascii="宋体" w:cs="宋体"/>
                <w:color w:val="auto"/>
                <w:kern w:val="0"/>
                <w:sz w:val="20"/>
                <w:szCs w:val="20"/>
                <w:highlight w:val="none"/>
              </w:rPr>
              <w:t>0.00</w:t>
            </w:r>
          </w:p>
        </w:tc>
      </w:tr>
      <w:tr>
        <w:tblPrEx>
          <w:tblCellMar>
            <w:top w:w="0" w:type="dxa"/>
            <w:left w:w="108" w:type="dxa"/>
            <w:bottom w:w="0" w:type="dxa"/>
            <w:right w:w="108" w:type="dxa"/>
          </w:tblCellMar>
        </w:tblPrEx>
        <w:trPr>
          <w:gridAfter w:val="1"/>
          <w:wAfter w:w="63" w:type="dxa"/>
          <w:trHeight w:val="70" w:hRule="atLeast"/>
          <w:jc w:val="center"/>
        </w:trPr>
        <w:tc>
          <w:tcPr>
            <w:tcW w:w="4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r>
              <w:rPr>
                <w:rFonts w:hint="eastAsia" w:ascii="宋体" w:cs="宋体"/>
                <w:color w:val="auto"/>
                <w:kern w:val="0"/>
                <w:sz w:val="20"/>
                <w:szCs w:val="20"/>
                <w:highlight w:val="none"/>
              </w:rPr>
              <w:t>2</w:t>
            </w:r>
          </w:p>
        </w:tc>
        <w:tc>
          <w:tcPr>
            <w:tcW w:w="3181"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936"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1517"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1318" w:type="dxa"/>
            <w:vMerge w:val="continue"/>
            <w:tcBorders>
              <w:top w:val="nil"/>
              <w:left w:val="single" w:color="auto" w:sz="4" w:space="0"/>
              <w:bottom w:val="single" w:color="000000" w:sz="4" w:space="0"/>
              <w:right w:val="single" w:color="auto" w:sz="4" w:space="0"/>
            </w:tcBorders>
            <w:shd w:val="clear" w:color="auto" w:fill="auto"/>
            <w:noWrap/>
            <w:vAlign w:val="center"/>
          </w:tcPr>
          <w:p>
            <w:pPr>
              <w:rPr>
                <w:color w:val="auto"/>
                <w:sz w:val="20"/>
                <w:szCs w:val="20"/>
                <w:highlight w:val="none"/>
              </w:rPr>
            </w:pPr>
          </w:p>
        </w:tc>
        <w:tc>
          <w:tcPr>
            <w:tcW w:w="876" w:type="dxa"/>
            <w:vMerge w:val="continue"/>
            <w:tcBorders>
              <w:top w:val="nil"/>
              <w:left w:val="single" w:color="auto" w:sz="4" w:space="0"/>
              <w:bottom w:val="single" w:color="000000" w:sz="4" w:space="0"/>
              <w:right w:val="single" w:color="auto" w:sz="4" w:space="0"/>
            </w:tcBorders>
            <w:shd w:val="clear" w:color="auto" w:fill="auto"/>
            <w:noWrap/>
            <w:vAlign w:val="center"/>
          </w:tcPr>
          <w:p>
            <w:pPr>
              <w:rPr>
                <w:color w:val="auto"/>
                <w:sz w:val="20"/>
                <w:szCs w:val="20"/>
                <w:highlight w:val="none"/>
              </w:rPr>
            </w:pPr>
          </w:p>
        </w:tc>
        <w:tc>
          <w:tcPr>
            <w:tcW w:w="864" w:type="dxa"/>
            <w:tcBorders>
              <w:top w:val="nil"/>
              <w:left w:val="nil"/>
              <w:bottom w:val="single" w:color="auto" w:sz="4" w:space="0"/>
              <w:right w:val="single" w:color="auto" w:sz="4" w:space="0"/>
            </w:tcBorders>
            <w:shd w:val="clear" w:color="000000" w:fill="FFFFFF"/>
            <w:noWrap/>
            <w:vAlign w:val="top"/>
          </w:tcPr>
          <w:p>
            <w:pPr>
              <w:spacing w:line="240" w:lineRule="auto"/>
              <w:rPr>
                <w:rFonts w:hint="eastAsia" w:ascii="宋体" w:cs="宋体"/>
                <w:color w:val="auto"/>
                <w:sz w:val="20"/>
                <w:szCs w:val="20"/>
                <w:highlight w:val="none"/>
              </w:rPr>
            </w:pPr>
            <w:r>
              <w:rPr>
                <w:rFonts w:hint="eastAsia" w:ascii="宋体" w:cs="宋体"/>
                <w:color w:val="auto"/>
                <w:kern w:val="0"/>
                <w:sz w:val="20"/>
                <w:szCs w:val="20"/>
                <w:highlight w:val="none"/>
              </w:rPr>
              <w:t>0.00</w:t>
            </w:r>
          </w:p>
        </w:tc>
      </w:tr>
      <w:tr>
        <w:tblPrEx>
          <w:tblCellMar>
            <w:top w:w="0" w:type="dxa"/>
            <w:left w:w="108" w:type="dxa"/>
            <w:bottom w:w="0" w:type="dxa"/>
            <w:right w:w="108" w:type="dxa"/>
          </w:tblCellMar>
        </w:tblPrEx>
        <w:trPr>
          <w:gridAfter w:val="1"/>
          <w:wAfter w:w="63" w:type="dxa"/>
          <w:trHeight w:val="70" w:hRule="atLeast"/>
          <w:jc w:val="center"/>
        </w:trPr>
        <w:tc>
          <w:tcPr>
            <w:tcW w:w="4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r>
              <w:rPr>
                <w:rFonts w:hint="eastAsia" w:ascii="宋体" w:cs="宋体"/>
                <w:color w:val="auto"/>
                <w:kern w:val="0"/>
                <w:sz w:val="20"/>
                <w:szCs w:val="20"/>
                <w:highlight w:val="none"/>
              </w:rPr>
              <w:t>3</w:t>
            </w:r>
          </w:p>
        </w:tc>
        <w:tc>
          <w:tcPr>
            <w:tcW w:w="3181"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936"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1517"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1318" w:type="dxa"/>
            <w:vMerge w:val="continue"/>
            <w:tcBorders>
              <w:top w:val="nil"/>
              <w:left w:val="single" w:color="auto" w:sz="4" w:space="0"/>
              <w:bottom w:val="single" w:color="000000" w:sz="4" w:space="0"/>
              <w:right w:val="single" w:color="auto" w:sz="4" w:space="0"/>
            </w:tcBorders>
            <w:shd w:val="clear" w:color="auto" w:fill="auto"/>
            <w:noWrap/>
            <w:vAlign w:val="center"/>
          </w:tcPr>
          <w:p>
            <w:pPr>
              <w:rPr>
                <w:color w:val="auto"/>
                <w:sz w:val="20"/>
                <w:szCs w:val="20"/>
                <w:highlight w:val="none"/>
              </w:rPr>
            </w:pPr>
          </w:p>
        </w:tc>
        <w:tc>
          <w:tcPr>
            <w:tcW w:w="876" w:type="dxa"/>
            <w:vMerge w:val="continue"/>
            <w:tcBorders>
              <w:top w:val="nil"/>
              <w:left w:val="single" w:color="auto" w:sz="4" w:space="0"/>
              <w:bottom w:val="single" w:color="000000" w:sz="4" w:space="0"/>
              <w:right w:val="single" w:color="auto" w:sz="4" w:space="0"/>
            </w:tcBorders>
            <w:shd w:val="clear" w:color="auto" w:fill="auto"/>
            <w:noWrap/>
            <w:vAlign w:val="center"/>
          </w:tcPr>
          <w:p>
            <w:pPr>
              <w:rPr>
                <w:color w:val="auto"/>
                <w:sz w:val="20"/>
                <w:szCs w:val="20"/>
                <w:highlight w:val="none"/>
              </w:rPr>
            </w:pPr>
          </w:p>
        </w:tc>
        <w:tc>
          <w:tcPr>
            <w:tcW w:w="864" w:type="dxa"/>
            <w:tcBorders>
              <w:top w:val="nil"/>
              <w:left w:val="nil"/>
              <w:bottom w:val="single" w:color="auto" w:sz="4" w:space="0"/>
              <w:right w:val="single" w:color="auto" w:sz="4" w:space="0"/>
            </w:tcBorders>
            <w:shd w:val="clear" w:color="000000" w:fill="FFFFFF"/>
            <w:noWrap/>
            <w:vAlign w:val="top"/>
          </w:tcPr>
          <w:p>
            <w:pPr>
              <w:spacing w:line="240" w:lineRule="auto"/>
              <w:rPr>
                <w:rFonts w:hint="eastAsia" w:ascii="宋体" w:cs="宋体"/>
                <w:color w:val="auto"/>
                <w:sz w:val="20"/>
                <w:szCs w:val="20"/>
                <w:highlight w:val="none"/>
              </w:rPr>
            </w:pPr>
            <w:r>
              <w:rPr>
                <w:rFonts w:hint="eastAsia" w:ascii="宋体" w:cs="宋体"/>
                <w:color w:val="auto"/>
                <w:kern w:val="0"/>
                <w:sz w:val="20"/>
                <w:szCs w:val="20"/>
                <w:highlight w:val="none"/>
              </w:rPr>
              <w:t>0.00</w:t>
            </w:r>
          </w:p>
        </w:tc>
      </w:tr>
      <w:tr>
        <w:tblPrEx>
          <w:tblCellMar>
            <w:top w:w="0" w:type="dxa"/>
            <w:left w:w="108" w:type="dxa"/>
            <w:bottom w:w="0" w:type="dxa"/>
            <w:right w:w="108" w:type="dxa"/>
          </w:tblCellMar>
        </w:tblPrEx>
        <w:trPr>
          <w:gridAfter w:val="1"/>
          <w:wAfter w:w="63" w:type="dxa"/>
          <w:trHeight w:val="70" w:hRule="atLeast"/>
          <w:jc w:val="center"/>
        </w:trPr>
        <w:tc>
          <w:tcPr>
            <w:tcW w:w="461"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r>
              <w:rPr>
                <w:rFonts w:hint="eastAsia" w:ascii="宋体" w:cs="宋体"/>
                <w:color w:val="auto"/>
                <w:kern w:val="0"/>
                <w:sz w:val="20"/>
                <w:szCs w:val="20"/>
                <w:highlight w:val="none"/>
              </w:rPr>
              <w:t>4</w:t>
            </w:r>
          </w:p>
        </w:tc>
        <w:tc>
          <w:tcPr>
            <w:tcW w:w="3181"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936"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1517" w:type="dxa"/>
            <w:tcBorders>
              <w:top w:val="nil"/>
              <w:left w:val="nil"/>
              <w:bottom w:val="single" w:color="auto" w:sz="4" w:space="0"/>
              <w:right w:val="single" w:color="auto" w:sz="4" w:space="0"/>
            </w:tcBorders>
            <w:shd w:val="clear" w:color="000000" w:fill="FFFFFF"/>
            <w:noWrap/>
            <w:vAlign w:val="center"/>
          </w:tcPr>
          <w:p>
            <w:pPr>
              <w:widowControl/>
              <w:spacing w:line="240" w:lineRule="auto"/>
              <w:rPr>
                <w:rFonts w:hint="eastAsia" w:ascii="宋体" w:cs="宋体"/>
                <w:color w:val="auto"/>
                <w:kern w:val="0"/>
                <w:sz w:val="20"/>
                <w:szCs w:val="20"/>
                <w:highlight w:val="none"/>
              </w:rPr>
            </w:pPr>
          </w:p>
        </w:tc>
        <w:tc>
          <w:tcPr>
            <w:tcW w:w="1318" w:type="dxa"/>
            <w:vMerge w:val="continue"/>
            <w:tcBorders>
              <w:top w:val="nil"/>
              <w:left w:val="single" w:color="auto" w:sz="4" w:space="0"/>
              <w:bottom w:val="single" w:color="000000" w:sz="4" w:space="0"/>
              <w:right w:val="single" w:color="auto" w:sz="4" w:space="0"/>
            </w:tcBorders>
            <w:shd w:val="clear" w:color="auto" w:fill="auto"/>
            <w:noWrap/>
            <w:vAlign w:val="center"/>
          </w:tcPr>
          <w:p>
            <w:pPr>
              <w:rPr>
                <w:color w:val="auto"/>
                <w:sz w:val="20"/>
                <w:szCs w:val="20"/>
                <w:highlight w:val="none"/>
              </w:rPr>
            </w:pPr>
          </w:p>
        </w:tc>
        <w:tc>
          <w:tcPr>
            <w:tcW w:w="876" w:type="dxa"/>
            <w:vMerge w:val="continue"/>
            <w:tcBorders>
              <w:top w:val="nil"/>
              <w:left w:val="single" w:color="auto" w:sz="4" w:space="0"/>
              <w:bottom w:val="single" w:color="000000" w:sz="4" w:space="0"/>
              <w:right w:val="single" w:color="auto" w:sz="4" w:space="0"/>
            </w:tcBorders>
            <w:shd w:val="clear" w:color="auto" w:fill="auto"/>
            <w:noWrap/>
            <w:vAlign w:val="center"/>
          </w:tcPr>
          <w:p>
            <w:pPr>
              <w:rPr>
                <w:color w:val="auto"/>
                <w:sz w:val="20"/>
                <w:szCs w:val="20"/>
                <w:highlight w:val="none"/>
              </w:rPr>
            </w:pPr>
          </w:p>
        </w:tc>
        <w:tc>
          <w:tcPr>
            <w:tcW w:w="864" w:type="dxa"/>
            <w:tcBorders>
              <w:top w:val="nil"/>
              <w:left w:val="nil"/>
              <w:bottom w:val="single" w:color="auto" w:sz="4" w:space="0"/>
              <w:right w:val="single" w:color="auto" w:sz="4" w:space="0"/>
            </w:tcBorders>
            <w:shd w:val="clear" w:color="000000" w:fill="FFFFFF"/>
            <w:noWrap/>
            <w:vAlign w:val="top"/>
          </w:tcPr>
          <w:p>
            <w:pPr>
              <w:spacing w:line="240" w:lineRule="auto"/>
              <w:rPr>
                <w:rFonts w:hint="eastAsia" w:ascii="宋体" w:cs="宋体"/>
                <w:color w:val="auto"/>
                <w:sz w:val="20"/>
                <w:szCs w:val="20"/>
                <w:highlight w:val="none"/>
              </w:rPr>
            </w:pPr>
            <w:r>
              <w:rPr>
                <w:rFonts w:hint="eastAsia" w:ascii="宋体" w:cs="宋体"/>
                <w:color w:val="auto"/>
                <w:kern w:val="0"/>
                <w:sz w:val="20"/>
                <w:szCs w:val="20"/>
                <w:highlight w:val="none"/>
              </w:rPr>
              <w:t>0.00</w:t>
            </w:r>
          </w:p>
        </w:tc>
      </w:tr>
      <w:tr>
        <w:tblPrEx>
          <w:tblCellMar>
            <w:top w:w="0" w:type="dxa"/>
            <w:left w:w="108" w:type="dxa"/>
            <w:bottom w:w="0" w:type="dxa"/>
            <w:right w:w="108" w:type="dxa"/>
          </w:tblCellMar>
        </w:tblPrEx>
        <w:trPr>
          <w:trHeight w:val="623" w:hRule="atLeast"/>
          <w:jc w:val="center"/>
        </w:trPr>
        <w:tc>
          <w:tcPr>
            <w:tcW w:w="9216" w:type="dxa"/>
            <w:gridSpan w:val="8"/>
            <w:tcBorders>
              <w:top w:val="nil"/>
              <w:left w:val="nil"/>
              <w:bottom w:val="nil"/>
              <w:right w:val="nil"/>
            </w:tcBorders>
            <w:shd w:val="clear" w:color="000000" w:fill="FFFFFF"/>
            <w:noWrap/>
            <w:vAlign w:val="center"/>
          </w:tcPr>
          <w:p>
            <w:pPr>
              <w:widowControl/>
              <w:spacing w:line="240" w:lineRule="auto"/>
              <w:rPr>
                <w:rFonts w:hint="eastAsia" w:ascii="宋体" w:cs="宋体"/>
                <w:color w:val="auto"/>
                <w:kern w:val="0"/>
                <w:sz w:val="20"/>
                <w:szCs w:val="20"/>
                <w:highlight w:val="none"/>
              </w:rPr>
            </w:pPr>
            <w:r>
              <w:rPr>
                <w:rFonts w:hint="eastAsia" w:ascii="宋体" w:cs="宋体"/>
                <w:color w:val="auto"/>
                <w:kern w:val="0"/>
                <w:sz w:val="20"/>
                <w:szCs w:val="20"/>
                <w:highlight w:val="none"/>
                <w:lang w:val="en-US" w:eastAsia="zh-CN"/>
              </w:rPr>
              <w:t>磋商小组</w:t>
            </w:r>
            <w:r>
              <w:rPr>
                <w:rFonts w:hint="eastAsia" w:ascii="宋体" w:cs="宋体"/>
                <w:color w:val="auto"/>
                <w:kern w:val="0"/>
                <w:sz w:val="20"/>
                <w:szCs w:val="20"/>
                <w:highlight w:val="none"/>
              </w:rPr>
              <w:t>（签名）：</w:t>
            </w:r>
          </w:p>
        </w:tc>
      </w:tr>
    </w:tbl>
    <w:p>
      <w:pPr>
        <w:spacing w:before="0" w:beforeAutospacing="0" w:after="0" w:afterAutospacing="0" w:line="360" w:lineRule="auto"/>
        <w:jc w:val="left"/>
        <w:rPr>
          <w:rFonts w:hint="default" w:ascii="宋体" w:eastAsia="宋体" w:cs="Times New Roman"/>
          <w:color w:val="000000" w:themeColor="text1"/>
          <w:kern w:val="2"/>
          <w:sz w:val="24"/>
          <w:szCs w:val="24"/>
          <w:lang w:val="en-US" w:eastAsia="zh-CN"/>
          <w14:textFill>
            <w14:solidFill>
              <w14:schemeClr w14:val="tx1"/>
            </w14:solidFill>
          </w14:textFill>
        </w:rPr>
      </w:pPr>
      <w:bookmarkStart w:id="157" w:name="_Toc406671687"/>
      <w:bookmarkStart w:id="158" w:name="_Toc406671099"/>
      <w:bookmarkStart w:id="159" w:name="_Toc406670728"/>
      <w:r>
        <w:rPr>
          <w:rFonts w:hint="eastAsia" w:ascii="宋体" w:eastAsia="宋体" w:cs="Times New Roman"/>
          <w:color w:val="000000" w:themeColor="text1"/>
          <w:kern w:val="2"/>
          <w:sz w:val="24"/>
          <w:szCs w:val="24"/>
          <w:lang w:val="en-US" w:eastAsia="zh-CN"/>
          <w14:textFill>
            <w14:solidFill>
              <w14:schemeClr w14:val="tx1"/>
            </w14:solidFill>
          </w14:textFill>
        </w:rPr>
        <w:t>价格分的计算</w:t>
      </w:r>
      <w:r>
        <w:rPr>
          <w:rFonts w:hint="eastAsia" w:ascii="宋体" w:cs="Times New Roman"/>
          <w:color w:val="000000" w:themeColor="text1"/>
          <w:kern w:val="2"/>
          <w:sz w:val="24"/>
          <w:szCs w:val="24"/>
          <w:lang w:val="en-US" w:eastAsia="zh-CN"/>
          <w14:textFill>
            <w14:solidFill>
              <w14:schemeClr w14:val="tx1"/>
            </w14:solidFill>
          </w14:textFill>
        </w:rPr>
        <w:t>说明：</w:t>
      </w:r>
    </w:p>
    <w:p>
      <w:pPr>
        <w:spacing w:before="0" w:beforeAutospacing="0" w:after="0" w:afterAutospacing="0" w:line="360" w:lineRule="auto"/>
        <w:ind w:firstLine="480" w:firstLineChars="200"/>
        <w:jc w:val="left"/>
        <w:rPr>
          <w:rFonts w:hint="eastAsia" w:ascii="宋体" w:eastAsia="宋体" w:cs="Times New Roman"/>
          <w:color w:val="000000" w:themeColor="text1"/>
          <w:kern w:val="2"/>
          <w:sz w:val="24"/>
          <w:szCs w:val="24"/>
          <w:lang w:val="en-US" w:eastAsia="zh-CN"/>
          <w14:textFill>
            <w14:solidFill>
              <w14:schemeClr w14:val="tx1"/>
            </w14:solidFill>
          </w14:textFill>
        </w:rPr>
      </w:pPr>
      <w:r>
        <w:rPr>
          <w:rFonts w:hint="eastAsia" w:ascii="宋体" w:eastAsia="宋体" w:cs="Times New Roman"/>
          <w:color w:val="000000" w:themeColor="text1"/>
          <w:kern w:val="2"/>
          <w:sz w:val="24"/>
          <w:szCs w:val="24"/>
          <w:lang w:val="en-US" w:eastAsia="zh-CN"/>
          <w14:textFill>
            <w14:solidFill>
              <w14:schemeClr w14:val="tx1"/>
            </w14:solidFill>
          </w14:textFill>
        </w:rPr>
        <w:t>价格分采用低价优先法计算，即满足采购文件要求的前提下，最低有效投标报价作为评标基准价，其价格分为满分。其余供应商价格分统一按照下列公式计算：</w:t>
      </w:r>
    </w:p>
    <w:p>
      <w:pPr>
        <w:spacing w:before="0" w:beforeAutospacing="0" w:after="0" w:afterAutospacing="0" w:line="360" w:lineRule="auto"/>
        <w:jc w:val="left"/>
        <w:rPr>
          <w:rFonts w:hint="eastAsia" w:ascii="宋体" w:eastAsia="宋体" w:cs="Times New Roman"/>
          <w:color w:val="000000" w:themeColor="text1"/>
          <w:kern w:val="2"/>
          <w:sz w:val="24"/>
          <w:szCs w:val="24"/>
          <w:lang w:val="en-US" w:eastAsia="zh-CN"/>
          <w14:textFill>
            <w14:solidFill>
              <w14:schemeClr w14:val="tx1"/>
            </w14:solidFill>
          </w14:textFill>
        </w:rPr>
      </w:pPr>
      <w:r>
        <w:rPr>
          <w:rFonts w:hint="eastAsia" w:ascii="宋体" w:eastAsia="宋体" w:cs="Times New Roman"/>
          <w:color w:val="000000" w:themeColor="text1"/>
          <w:kern w:val="2"/>
          <w:sz w:val="24"/>
          <w:szCs w:val="24"/>
          <w:lang w:val="en-US" w:eastAsia="zh-CN"/>
          <w14:textFill>
            <w14:solidFill>
              <w14:schemeClr w14:val="tx1"/>
            </w14:solidFill>
          </w14:textFill>
        </w:rPr>
        <w:t>投标报价得分＝（评标基准价／投标报价）×价格权值×100</w:t>
      </w:r>
    </w:p>
    <w:p>
      <w:pPr>
        <w:spacing w:before="0" w:beforeAutospacing="0" w:after="0" w:afterAutospacing="0" w:line="360" w:lineRule="auto"/>
        <w:jc w:val="left"/>
        <w:rPr>
          <w:rFonts w:hint="eastAsia" w:ascii="宋体" w:eastAsia="宋体" w:cs="Times New Roman"/>
          <w:color w:val="000000" w:themeColor="text1"/>
          <w:kern w:val="2"/>
          <w:sz w:val="24"/>
          <w:szCs w:val="24"/>
          <w:lang w:val="en-US" w:eastAsia="zh-CN"/>
          <w14:textFill>
            <w14:solidFill>
              <w14:schemeClr w14:val="tx1"/>
            </w14:solidFill>
          </w14:textFill>
        </w:rPr>
      </w:pPr>
      <w:r>
        <w:rPr>
          <w:rFonts w:hint="eastAsia" w:ascii="宋体" w:eastAsia="宋体" w:cs="Times New Roman"/>
          <w:color w:val="000000" w:themeColor="text1"/>
          <w:kern w:val="2"/>
          <w:sz w:val="24"/>
          <w:szCs w:val="24"/>
          <w:lang w:val="en-US" w:eastAsia="zh-CN"/>
          <w14:textFill>
            <w14:solidFill>
              <w14:schemeClr w14:val="tx1"/>
            </w14:solidFill>
          </w14:textFill>
        </w:rPr>
        <w:t>（1）中小企业价格扣除</w:t>
      </w:r>
      <w:bookmarkEnd w:id="157"/>
      <w:bookmarkEnd w:id="158"/>
      <w:bookmarkEnd w:id="159"/>
    </w:p>
    <w:p>
      <w:pPr>
        <w:spacing w:before="0" w:beforeAutospacing="0" w:after="0" w:afterAutospacing="0" w:line="360" w:lineRule="auto"/>
        <w:ind w:firstLine="480" w:firstLineChars="200"/>
        <w:jc w:val="left"/>
        <w:rPr>
          <w:rFonts w:hint="eastAsia" w:ascii="宋体" w:eastAsia="宋体" w:cs="Times New Roman"/>
          <w:color w:val="000000" w:themeColor="text1"/>
          <w:kern w:val="2"/>
          <w:sz w:val="24"/>
          <w:szCs w:val="24"/>
          <w:lang w:val="en-US" w:eastAsia="zh-CN"/>
          <w14:textFill>
            <w14:solidFill>
              <w14:schemeClr w14:val="tx1"/>
            </w14:solidFill>
          </w14:textFill>
        </w:rPr>
      </w:pPr>
      <w:r>
        <w:rPr>
          <w:rFonts w:hint="eastAsia" w:ascii="宋体" w:eastAsia="宋体" w:cs="Times New Roman"/>
          <w:color w:val="000000" w:themeColor="text1"/>
          <w:kern w:val="2"/>
          <w:sz w:val="24"/>
          <w:szCs w:val="24"/>
          <w:lang w:val="en-US" w:eastAsia="zh-CN"/>
          <w14:textFill>
            <w14:solidFill>
              <w14:schemeClr w14:val="tx1"/>
            </w14:solidFill>
          </w14:textFill>
        </w:rPr>
        <w:t>根据《政府采购促进中小企业发展管理办法》财库〔2020〕46号、关于政府采购支持监狱企业发展有关问题的通知(财库〔2014〕68号)、关于促进残疾人就业政府采购政策的通知（财库〔2017〕141号）及相关规定，在技术、商务等均满足采购需求的前提下，本项目对享受价格扣除政策企业的产品给予</w:t>
      </w:r>
      <w:r>
        <w:rPr>
          <w:rFonts w:hint="eastAsia" w:ascii="宋体" w:cs="Times New Roman"/>
          <w:color w:val="000000" w:themeColor="text1"/>
          <w:kern w:val="2"/>
          <w:sz w:val="24"/>
          <w:szCs w:val="24"/>
          <w:u w:val="single"/>
          <w:lang w:val="en-US" w:eastAsia="zh-CN"/>
          <w14:textFill>
            <w14:solidFill>
              <w14:schemeClr w14:val="tx1"/>
            </w14:solidFill>
          </w14:textFill>
        </w:rPr>
        <w:t xml:space="preserve"> 10 </w:t>
      </w:r>
      <w:r>
        <w:rPr>
          <w:rFonts w:hint="eastAsia" w:ascii="宋体" w:eastAsia="宋体" w:cs="Times New Roman"/>
          <w:color w:val="000000" w:themeColor="text1"/>
          <w:kern w:val="2"/>
          <w:sz w:val="24"/>
          <w:szCs w:val="24"/>
          <w:lang w:val="en-US" w:eastAsia="zh-CN"/>
          <w14:textFill>
            <w14:solidFill>
              <w14:schemeClr w14:val="tx1"/>
            </w14:solidFill>
          </w14:textFill>
        </w:rPr>
        <w:t>%  （联合体 6%）的价格扣除，用扣除后的价格参与评审(说明：1、监狱企业视同小型、微型企业，享受预留份额、评审中价格扣除等政府采购促进中小企业发展的政府采购政策，残疾人福利性单位属于小型、微型企业的，不重复享受政策。2、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cs="Times New Roman"/>
          <w:color w:val="000000" w:themeColor="text1"/>
          <w:kern w:val="2"/>
          <w:sz w:val="24"/>
          <w:szCs w:val="24"/>
          <w:lang w:val="en-US" w:eastAsia="zh-CN"/>
          <w14:textFill>
            <w14:solidFill>
              <w14:schemeClr w14:val="tx1"/>
            </w14:solidFill>
          </w14:textFill>
        </w:rPr>
        <w:t>10</w:t>
      </w:r>
      <w:r>
        <w:rPr>
          <w:rFonts w:hint="eastAsia" w:ascii="宋体" w:eastAsia="宋体" w:cs="Times New Roman"/>
          <w:color w:val="000000" w:themeColor="text1"/>
          <w:kern w:val="2"/>
          <w:sz w:val="24"/>
          <w:szCs w:val="24"/>
          <w:lang w:val="en-US" w:eastAsia="zh-CN"/>
          <w14:textFill>
            <w14:solidFill>
              <w14:schemeClr w14:val="tx1"/>
            </w14:solidFill>
          </w14:textFill>
        </w:rPr>
        <w:t>%—</w:t>
      </w:r>
      <w:r>
        <w:rPr>
          <w:rFonts w:hint="eastAsia" w:ascii="宋体" w:cs="Times New Roman"/>
          <w:color w:val="000000" w:themeColor="text1"/>
          <w:kern w:val="2"/>
          <w:sz w:val="24"/>
          <w:szCs w:val="24"/>
          <w:lang w:val="en-US" w:eastAsia="zh-CN"/>
          <w14:textFill>
            <w14:solidFill>
              <w14:schemeClr w14:val="tx1"/>
            </w14:solidFill>
          </w14:textFill>
        </w:rPr>
        <w:t>2</w:t>
      </w:r>
      <w:r>
        <w:rPr>
          <w:rFonts w:hint="eastAsia" w:ascii="宋体" w:eastAsia="宋体" w:cs="Times New Roman"/>
          <w:color w:val="000000" w:themeColor="text1"/>
          <w:kern w:val="2"/>
          <w:sz w:val="24"/>
          <w:szCs w:val="24"/>
          <w:lang w:val="en-US" w:eastAsia="zh-CN"/>
          <w14:textFill>
            <w14:solidFill>
              <w14:schemeClr w14:val="tx1"/>
            </w14:solidFill>
          </w14:textFill>
        </w:rPr>
        <w:t>0%（由招标代理机构确定具体数值）的扣除，用扣除后的价格参加评审。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2%-3%（由招标代理机构确定具体数值）的扣除（由招标代理机构确定具体数值），用扣除后的价格参加评审。）。</w:t>
      </w:r>
    </w:p>
    <w:p>
      <w:pPr>
        <w:spacing w:before="0" w:beforeAutospacing="0" w:after="0" w:afterAutospacing="0" w:line="360" w:lineRule="auto"/>
        <w:jc w:val="left"/>
        <w:rPr>
          <w:rFonts w:hint="eastAsia" w:ascii="宋体" w:eastAsia="宋体" w:cs="Times New Roman"/>
          <w:color w:val="000000" w:themeColor="text1"/>
          <w:kern w:val="2"/>
          <w:sz w:val="24"/>
          <w:szCs w:val="24"/>
          <w:lang w:val="en-US" w:eastAsia="zh-CN"/>
          <w14:textFill>
            <w14:solidFill>
              <w14:schemeClr w14:val="tx1"/>
            </w14:solidFill>
          </w14:textFill>
        </w:rPr>
      </w:pPr>
      <w:r>
        <w:rPr>
          <w:rFonts w:hint="eastAsia" w:ascii="宋体" w:eastAsia="宋体" w:cs="Times New Roman"/>
          <w:color w:val="000000" w:themeColor="text1"/>
          <w:kern w:val="2"/>
          <w:sz w:val="24"/>
          <w:szCs w:val="24"/>
          <w:lang w:val="en-US" w:eastAsia="zh-CN"/>
          <w14:textFill>
            <w14:solidFill>
              <w14:schemeClr w14:val="tx1"/>
            </w14:solidFill>
          </w14:textFill>
        </w:rPr>
        <w:t>组成联合体或者接受分包的小微企业与联合体内其他企业、分包企业之间存在直接控股、管理关系的，不享受价格扣除优惠政策。</w:t>
      </w:r>
    </w:p>
    <w:p>
      <w:pPr>
        <w:spacing w:before="0" w:beforeAutospacing="0" w:after="0" w:afterAutospacing="0" w:line="360" w:lineRule="auto"/>
        <w:ind w:firstLine="480" w:firstLineChars="200"/>
        <w:jc w:val="left"/>
        <w:rPr>
          <w:rFonts w:hint="eastAsia" w:ascii="宋体" w:eastAsia="宋体" w:cs="Times New Roman"/>
          <w:color w:val="000000" w:themeColor="text1"/>
          <w:kern w:val="2"/>
          <w:sz w:val="24"/>
          <w:szCs w:val="24"/>
          <w:lang w:val="en-US" w:eastAsia="zh-CN"/>
          <w14:textFill>
            <w14:solidFill>
              <w14:schemeClr w14:val="tx1"/>
            </w14:solidFill>
          </w14:textFill>
        </w:rPr>
      </w:pPr>
      <w:r>
        <w:rPr>
          <w:rFonts w:hint="eastAsia" w:ascii="宋体" w:eastAsia="宋体" w:cs="Times New Roman"/>
          <w:color w:val="000000" w:themeColor="text1"/>
          <w:kern w:val="2"/>
          <w:sz w:val="24"/>
          <w:szCs w:val="24"/>
          <w:lang w:val="en-US" w:eastAsia="zh-CN"/>
          <w14:textFill>
            <w14:solidFill>
              <w14:schemeClr w14:val="tx1"/>
            </w14:solidFill>
          </w14:textFill>
        </w:rPr>
        <w:t>《残疾人福利性单位声明函》和中小企业须提供《中小企业声明函》且声明函所载内容必需真实，如有虚假，将依法承担相应责任，包括取消中标资格等。中小企业划分标准依照工业和信息化部、国家统计局、国家发展和改革委员会、财政部联合下发的《关于印发中小企业划型标准规定的通知》（工信部联企业《2011》300号）执行。价格扣除只针对投标报价未超过财政控制值的供应商有效。</w:t>
      </w:r>
    </w:p>
    <w:p>
      <w:pPr>
        <w:spacing w:after="0" w:afterAutospacing="0" w:line="240" w:lineRule="auto"/>
        <w:ind w:firstLine="730" w:firstLineChars="202"/>
        <w:jc w:val="center"/>
        <w:rPr>
          <w:rFonts w:hint="eastAsia" w:ascii="宋体" w:cs="宋体"/>
          <w:color w:val="auto"/>
          <w:sz w:val="24"/>
          <w:highlight w:val="none"/>
        </w:rPr>
      </w:pPr>
      <w:r>
        <w:rPr>
          <w:rFonts w:hint="eastAsia" w:ascii="宋体" w:cs="宋体"/>
          <w:b/>
          <w:bCs/>
          <w:color w:val="auto"/>
          <w:kern w:val="0"/>
          <w:sz w:val="36"/>
          <w:szCs w:val="36"/>
          <w:highlight w:val="none"/>
          <w:u w:val="single"/>
        </w:rPr>
        <w:t>评 分 汇 总 表</w:t>
      </w:r>
    </w:p>
    <w:tbl>
      <w:tblPr>
        <w:tblStyle w:val="16"/>
        <w:tblW w:w="8975" w:type="dxa"/>
        <w:tblInd w:w="108" w:type="dxa"/>
        <w:tblLayout w:type="fixed"/>
        <w:tblCellMar>
          <w:top w:w="0" w:type="dxa"/>
          <w:left w:w="108" w:type="dxa"/>
          <w:bottom w:w="0" w:type="dxa"/>
          <w:right w:w="108" w:type="dxa"/>
        </w:tblCellMar>
      </w:tblPr>
      <w:tblGrid>
        <w:gridCol w:w="1207"/>
        <w:gridCol w:w="1353"/>
        <w:gridCol w:w="1653"/>
        <w:gridCol w:w="1653"/>
        <w:gridCol w:w="1653"/>
        <w:gridCol w:w="1456"/>
      </w:tblGrid>
      <w:tr>
        <w:tblPrEx>
          <w:tblCellMar>
            <w:top w:w="0" w:type="dxa"/>
            <w:left w:w="108" w:type="dxa"/>
            <w:bottom w:w="0" w:type="dxa"/>
            <w:right w:w="108" w:type="dxa"/>
          </w:tblCellMar>
        </w:tblPrEx>
        <w:trPr>
          <w:trHeight w:val="420" w:hRule="atLeast"/>
        </w:trPr>
        <w:tc>
          <w:tcPr>
            <w:tcW w:w="8975" w:type="dxa"/>
            <w:gridSpan w:val="6"/>
            <w:tcBorders>
              <w:top w:val="nil"/>
              <w:left w:val="nil"/>
              <w:bottom w:val="nil"/>
              <w:right w:val="nil"/>
            </w:tcBorders>
            <w:shd w:val="clear" w:color="000000" w:fill="FFFFFF"/>
            <w:noWrap w:val="0"/>
            <w:vAlign w:val="center"/>
          </w:tcPr>
          <w:p>
            <w:pPr>
              <w:widowControl/>
              <w:spacing w:line="240" w:lineRule="auto"/>
              <w:jc w:val="left"/>
              <w:rPr>
                <w:rFonts w:hint="eastAsia" w:ascii="宋体" w:cs="宋体"/>
                <w:color w:val="auto"/>
                <w:sz w:val="20"/>
                <w:szCs w:val="20"/>
                <w:highlight w:val="none"/>
              </w:rPr>
            </w:pPr>
            <w:r>
              <w:rPr>
                <w:rFonts w:hint="eastAsia" w:ascii="宋体" w:cs="宋体"/>
                <w:color w:val="auto"/>
                <w:sz w:val="20"/>
                <w:szCs w:val="20"/>
                <w:highlight w:val="none"/>
              </w:rPr>
              <w:t>项目名称：</w:t>
            </w:r>
          </w:p>
        </w:tc>
      </w:tr>
      <w:tr>
        <w:tblPrEx>
          <w:tblCellMar>
            <w:top w:w="0" w:type="dxa"/>
            <w:left w:w="108" w:type="dxa"/>
            <w:bottom w:w="0" w:type="dxa"/>
            <w:right w:w="108" w:type="dxa"/>
          </w:tblCellMar>
        </w:tblPrEx>
        <w:trPr>
          <w:trHeight w:val="420" w:hRule="atLeast"/>
        </w:trPr>
        <w:tc>
          <w:tcPr>
            <w:tcW w:w="8975" w:type="dxa"/>
            <w:gridSpan w:val="6"/>
            <w:tcBorders>
              <w:top w:val="nil"/>
              <w:left w:val="nil"/>
              <w:bottom w:val="nil"/>
              <w:right w:val="nil"/>
            </w:tcBorders>
            <w:shd w:val="clear" w:color="000000" w:fill="FFFFFF"/>
            <w:noWrap/>
            <w:vAlign w:val="center"/>
          </w:tcPr>
          <w:p>
            <w:pPr>
              <w:widowControl/>
              <w:spacing w:line="240" w:lineRule="auto"/>
              <w:jc w:val="left"/>
              <w:rPr>
                <w:rFonts w:hint="eastAsia" w:ascii="宋体" w:cs="宋体"/>
                <w:color w:val="auto"/>
                <w:sz w:val="20"/>
                <w:szCs w:val="20"/>
                <w:highlight w:val="none"/>
              </w:rPr>
            </w:pPr>
            <w:r>
              <w:rPr>
                <w:rFonts w:hint="eastAsia" w:ascii="宋体" w:cs="宋体"/>
                <w:color w:val="auto"/>
                <w:sz w:val="20"/>
                <w:szCs w:val="20"/>
                <w:highlight w:val="none"/>
                <w:lang w:val="en-US" w:eastAsia="zh-CN"/>
              </w:rPr>
              <w:t>磋商</w:t>
            </w:r>
            <w:r>
              <w:rPr>
                <w:rFonts w:hint="eastAsia" w:ascii="宋体" w:cs="宋体"/>
                <w:color w:val="auto"/>
                <w:sz w:val="20"/>
                <w:szCs w:val="20"/>
                <w:highlight w:val="none"/>
              </w:rPr>
              <w:t>地点：</w:t>
            </w:r>
            <w:r>
              <w:rPr>
                <w:rFonts w:hint="eastAsia" w:ascii="宋体" w:cs="宋体"/>
                <w:color w:val="auto"/>
                <w:sz w:val="20"/>
                <w:szCs w:val="20"/>
                <w:highlight w:val="none"/>
                <w:lang w:val="en-US" w:eastAsia="zh-CN"/>
              </w:rPr>
              <w:t xml:space="preserve"> </w:t>
            </w:r>
            <w:r>
              <w:rPr>
                <w:rFonts w:hint="eastAsia" w:ascii="宋体" w:cs="宋体"/>
                <w:color w:val="auto"/>
                <w:sz w:val="20"/>
                <w:szCs w:val="20"/>
                <w:highlight w:val="none"/>
              </w:rPr>
              <w:t xml:space="preserve">        </w:t>
            </w:r>
            <w:r>
              <w:rPr>
                <w:rFonts w:hint="eastAsia" w:ascii="宋体" w:cs="宋体"/>
                <w:color w:val="auto"/>
                <w:sz w:val="20"/>
                <w:szCs w:val="20"/>
                <w:highlight w:val="none"/>
                <w:lang w:val="en-US" w:eastAsia="zh-CN"/>
              </w:rPr>
              <w:t xml:space="preserve">                                                        </w:t>
            </w:r>
            <w:r>
              <w:rPr>
                <w:rFonts w:hint="eastAsia" w:ascii="宋体" w:cs="宋体"/>
                <w:color w:val="auto"/>
                <w:sz w:val="20"/>
                <w:szCs w:val="20"/>
                <w:highlight w:val="none"/>
              </w:rPr>
              <w:t xml:space="preserve">  202</w:t>
            </w:r>
            <w:r>
              <w:rPr>
                <w:rFonts w:hint="eastAsia" w:ascii="宋体" w:cs="宋体"/>
                <w:color w:val="auto"/>
                <w:sz w:val="20"/>
                <w:szCs w:val="20"/>
                <w:highlight w:val="none"/>
                <w:lang w:val="en-US" w:eastAsia="zh-CN"/>
              </w:rPr>
              <w:t>2</w:t>
            </w:r>
            <w:r>
              <w:rPr>
                <w:rFonts w:hint="eastAsia" w:ascii="宋体" w:cs="宋体"/>
                <w:color w:val="auto"/>
                <w:sz w:val="20"/>
                <w:szCs w:val="20"/>
                <w:highlight w:val="none"/>
              </w:rPr>
              <w:t>.X.X</w:t>
            </w:r>
          </w:p>
        </w:tc>
      </w:tr>
      <w:tr>
        <w:tblPrEx>
          <w:tblCellMar>
            <w:top w:w="0" w:type="dxa"/>
            <w:left w:w="108" w:type="dxa"/>
            <w:bottom w:w="0" w:type="dxa"/>
            <w:right w:w="108" w:type="dxa"/>
          </w:tblCellMar>
        </w:tblPrEx>
        <w:trPr>
          <w:trHeight w:val="675" w:hRule="atLeast"/>
        </w:trPr>
        <w:tc>
          <w:tcPr>
            <w:tcW w:w="1207" w:type="dxa"/>
            <w:vMerge w:val="restart"/>
            <w:tcBorders>
              <w:top w:val="single" w:color="auto" w:sz="4" w:space="0"/>
              <w:left w:val="single" w:color="auto" w:sz="4" w:space="0"/>
              <w:right w:val="single" w:color="auto" w:sz="4" w:space="0"/>
            </w:tcBorders>
            <w:shd w:val="clear" w:color="000000" w:fill="FFFFFF"/>
            <w:noWrap/>
            <w:vAlign w:val="center"/>
          </w:tcPr>
          <w:p>
            <w:pPr>
              <w:widowControl/>
              <w:spacing w:line="240" w:lineRule="auto"/>
              <w:jc w:val="center"/>
              <w:rPr>
                <w:rFonts w:hint="default" w:ascii="宋体" w:eastAsia="宋体" w:cs="宋体"/>
                <w:color w:val="auto"/>
                <w:kern w:val="0"/>
                <w:sz w:val="20"/>
                <w:szCs w:val="20"/>
                <w:highlight w:val="none"/>
                <w:lang w:val="en-US" w:eastAsia="zh-CN"/>
              </w:rPr>
            </w:pPr>
            <w:r>
              <w:rPr>
                <w:rFonts w:hint="eastAsia" w:ascii="宋体" w:cs="宋体"/>
                <w:color w:val="auto"/>
                <w:kern w:val="0"/>
                <w:sz w:val="20"/>
                <w:szCs w:val="20"/>
                <w:highlight w:val="none"/>
                <w:lang w:val="en-US" w:eastAsia="zh-CN"/>
              </w:rPr>
              <w:t>磋商小组</w:t>
            </w:r>
          </w:p>
        </w:tc>
        <w:tc>
          <w:tcPr>
            <w:tcW w:w="1353" w:type="dxa"/>
            <w:tcBorders>
              <w:top w:val="single" w:color="auto" w:sz="4" w:space="0"/>
              <w:left w:val="nil"/>
              <w:bottom w:val="nil"/>
              <w:right w:val="single" w:color="auto" w:sz="4" w:space="0"/>
            </w:tcBorders>
            <w:shd w:val="clear" w:color="000000" w:fill="FFFFFF"/>
            <w:noWrap/>
            <w:vAlign w:val="center"/>
          </w:tcPr>
          <w:p>
            <w:pPr>
              <w:widowControl/>
              <w:spacing w:line="240" w:lineRule="auto"/>
              <w:jc w:val="center"/>
              <w:rPr>
                <w:rFonts w:hint="eastAsia" w:ascii="宋体" w:cs="宋体"/>
                <w:bCs/>
                <w:color w:val="auto"/>
                <w:kern w:val="0"/>
                <w:sz w:val="20"/>
                <w:szCs w:val="20"/>
                <w:highlight w:val="none"/>
              </w:rPr>
            </w:pPr>
            <w:r>
              <w:rPr>
                <w:rFonts w:hint="eastAsia" w:ascii="宋体" w:cs="宋体"/>
                <w:bCs/>
                <w:color w:val="auto"/>
                <w:kern w:val="0"/>
                <w:sz w:val="20"/>
                <w:szCs w:val="20"/>
                <w:highlight w:val="none"/>
                <w:lang w:val="en-US" w:eastAsia="zh-CN"/>
              </w:rPr>
              <w:t>磋商小组成员</w:t>
            </w:r>
            <w:r>
              <w:rPr>
                <w:rFonts w:hint="eastAsia" w:ascii="宋体" w:cs="宋体"/>
                <w:bCs/>
                <w:color w:val="auto"/>
                <w:kern w:val="0"/>
                <w:sz w:val="20"/>
                <w:szCs w:val="20"/>
                <w:highlight w:val="none"/>
              </w:rPr>
              <w:t>姓名</w:t>
            </w:r>
          </w:p>
        </w:tc>
        <w:tc>
          <w:tcPr>
            <w:tcW w:w="16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供应商1</w:t>
            </w:r>
          </w:p>
        </w:tc>
        <w:tc>
          <w:tcPr>
            <w:tcW w:w="16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供应商2</w:t>
            </w:r>
          </w:p>
        </w:tc>
        <w:tc>
          <w:tcPr>
            <w:tcW w:w="16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供应商3</w:t>
            </w:r>
          </w:p>
        </w:tc>
        <w:tc>
          <w:tcPr>
            <w:tcW w:w="1456"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r>
              <w:rPr>
                <w:rFonts w:hint="eastAsia" w:ascii="宋体" w:cs="宋体"/>
                <w:color w:val="auto"/>
                <w:kern w:val="0"/>
                <w:sz w:val="20"/>
                <w:szCs w:val="20"/>
                <w:highlight w:val="none"/>
              </w:rPr>
              <w:t>供应商4</w:t>
            </w:r>
          </w:p>
        </w:tc>
      </w:tr>
      <w:tr>
        <w:tblPrEx>
          <w:tblCellMar>
            <w:top w:w="0" w:type="dxa"/>
            <w:left w:w="108" w:type="dxa"/>
            <w:bottom w:w="0" w:type="dxa"/>
            <w:right w:w="108" w:type="dxa"/>
          </w:tblCellMar>
        </w:tblPrEx>
        <w:trPr>
          <w:trHeight w:val="510" w:hRule="atLeast"/>
        </w:trPr>
        <w:tc>
          <w:tcPr>
            <w:tcW w:w="1207" w:type="dxa"/>
            <w:vMerge w:val="continue"/>
            <w:tcBorders>
              <w:left w:val="single" w:color="auto" w:sz="4" w:space="0"/>
              <w:right w:val="single" w:color="auto" w:sz="4" w:space="0"/>
            </w:tcBorders>
            <w:shd w:val="clear" w:color="000000" w:fill="FFFFFF"/>
            <w:noWrap/>
            <w:vAlign w:val="center"/>
          </w:tcPr>
          <w:p>
            <w:pPr>
              <w:widowControl/>
              <w:spacing w:line="240" w:lineRule="auto"/>
              <w:jc w:val="center"/>
              <w:rPr>
                <w:rFonts w:hint="default" w:ascii="宋体" w:eastAsia="宋体" w:cs="宋体"/>
                <w:color w:val="auto"/>
                <w:kern w:val="0"/>
                <w:sz w:val="20"/>
                <w:szCs w:val="20"/>
                <w:highlight w:val="none"/>
                <w:lang w:val="en-US" w:eastAsia="zh-CN"/>
              </w:rPr>
            </w:pP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b/>
                <w:bCs/>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p>
        </w:tc>
        <w:tc>
          <w:tcPr>
            <w:tcW w:w="145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宋体" w:cs="宋体"/>
                <w:color w:val="auto"/>
                <w:kern w:val="0"/>
                <w:sz w:val="20"/>
                <w:szCs w:val="20"/>
                <w:highlight w:val="none"/>
              </w:rPr>
            </w:pPr>
          </w:p>
        </w:tc>
      </w:tr>
      <w:tr>
        <w:tblPrEx>
          <w:tblCellMar>
            <w:top w:w="0" w:type="dxa"/>
            <w:left w:w="108" w:type="dxa"/>
            <w:bottom w:w="0" w:type="dxa"/>
            <w:right w:w="108" w:type="dxa"/>
          </w:tblCellMar>
        </w:tblPrEx>
        <w:trPr>
          <w:trHeight w:val="510" w:hRule="atLeast"/>
        </w:trPr>
        <w:tc>
          <w:tcPr>
            <w:tcW w:w="1207" w:type="dxa"/>
            <w:vMerge w:val="continue"/>
            <w:tcBorders>
              <w:left w:val="single" w:color="auto" w:sz="4" w:space="0"/>
              <w:right w:val="single" w:color="auto" w:sz="4" w:space="0"/>
            </w:tcBorders>
            <w:shd w:val="clear" w:color="auto" w:fill="auto"/>
            <w:noWrap w:val="0"/>
            <w:vAlign w:val="center"/>
          </w:tcPr>
          <w:p>
            <w:pPr>
              <w:rPr>
                <w:color w:val="auto"/>
                <w:sz w:val="20"/>
                <w:szCs w:val="20"/>
                <w:highlight w:val="none"/>
              </w:rPr>
            </w:pPr>
          </w:p>
        </w:tc>
        <w:tc>
          <w:tcPr>
            <w:tcW w:w="13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b/>
                <w:bCs/>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456"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r>
      <w:tr>
        <w:tblPrEx>
          <w:tblCellMar>
            <w:top w:w="0" w:type="dxa"/>
            <w:left w:w="108" w:type="dxa"/>
            <w:bottom w:w="0" w:type="dxa"/>
            <w:right w:w="108" w:type="dxa"/>
          </w:tblCellMar>
        </w:tblPrEx>
        <w:trPr>
          <w:trHeight w:val="510" w:hRule="atLeast"/>
        </w:trPr>
        <w:tc>
          <w:tcPr>
            <w:tcW w:w="1207" w:type="dxa"/>
            <w:vMerge w:val="continue"/>
            <w:tcBorders>
              <w:left w:val="single" w:color="auto" w:sz="4" w:space="0"/>
              <w:bottom w:val="single" w:color="auto" w:sz="4" w:space="0"/>
              <w:right w:val="single" w:color="auto" w:sz="4" w:space="0"/>
            </w:tcBorders>
            <w:shd w:val="clear" w:color="auto" w:fill="auto"/>
            <w:noWrap w:val="0"/>
            <w:vAlign w:val="center"/>
          </w:tcPr>
          <w:p>
            <w:pPr>
              <w:rPr>
                <w:color w:val="auto"/>
                <w:sz w:val="20"/>
                <w:szCs w:val="20"/>
                <w:highlight w:val="none"/>
              </w:rPr>
            </w:pPr>
          </w:p>
        </w:tc>
        <w:tc>
          <w:tcPr>
            <w:tcW w:w="13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b/>
                <w:bCs/>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456"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r>
      <w:tr>
        <w:tblPrEx>
          <w:tblCellMar>
            <w:top w:w="0" w:type="dxa"/>
            <w:left w:w="108" w:type="dxa"/>
            <w:bottom w:w="0" w:type="dxa"/>
            <w:right w:w="108" w:type="dxa"/>
          </w:tblCellMar>
        </w:tblPrEx>
        <w:trPr>
          <w:trHeight w:val="510" w:hRule="atLeast"/>
        </w:trPr>
        <w:tc>
          <w:tcPr>
            <w:tcW w:w="2560"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pPr>
              <w:widowControl/>
              <w:spacing w:line="240" w:lineRule="auto"/>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总  分</w:t>
            </w: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spacing w:line="240" w:lineRule="auto"/>
              <w:jc w:val="center"/>
              <w:rPr>
                <w:rFonts w:hint="eastAsia" w:ascii="宋体" w:cs="宋体"/>
                <w:color w:val="auto"/>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spacing w:line="240" w:lineRule="auto"/>
              <w:jc w:val="center"/>
              <w:rPr>
                <w:rFonts w:hint="eastAsia" w:ascii="宋体" w:cs="宋体"/>
                <w:color w:val="auto"/>
                <w:sz w:val="20"/>
                <w:szCs w:val="20"/>
                <w:highlight w:val="none"/>
              </w:rPr>
            </w:pPr>
          </w:p>
        </w:tc>
        <w:tc>
          <w:tcPr>
            <w:tcW w:w="1456" w:type="dxa"/>
            <w:tcBorders>
              <w:top w:val="nil"/>
              <w:left w:val="nil"/>
              <w:bottom w:val="single" w:color="auto" w:sz="4" w:space="0"/>
              <w:right w:val="single" w:color="auto" w:sz="4" w:space="0"/>
            </w:tcBorders>
            <w:shd w:val="clear" w:color="000000" w:fill="FFFFFF"/>
            <w:noWrap w:val="0"/>
            <w:vAlign w:val="center"/>
          </w:tcPr>
          <w:p>
            <w:pPr>
              <w:spacing w:line="240" w:lineRule="auto"/>
              <w:jc w:val="center"/>
              <w:rPr>
                <w:rFonts w:hint="eastAsia" w:ascii="宋体" w:cs="宋体"/>
                <w:color w:val="auto"/>
                <w:sz w:val="20"/>
                <w:szCs w:val="20"/>
                <w:highlight w:val="none"/>
              </w:rPr>
            </w:pPr>
          </w:p>
        </w:tc>
      </w:tr>
      <w:tr>
        <w:tblPrEx>
          <w:tblCellMar>
            <w:top w:w="0" w:type="dxa"/>
            <w:left w:w="108" w:type="dxa"/>
            <w:bottom w:w="0" w:type="dxa"/>
            <w:right w:w="108" w:type="dxa"/>
          </w:tblCellMar>
        </w:tblPrEx>
        <w:trPr>
          <w:trHeight w:val="510" w:hRule="atLeast"/>
        </w:trPr>
        <w:tc>
          <w:tcPr>
            <w:tcW w:w="2560"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pPr>
              <w:widowControl/>
              <w:spacing w:line="240" w:lineRule="auto"/>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平均分</w:t>
            </w: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spacing w:line="240" w:lineRule="auto"/>
              <w:jc w:val="center"/>
              <w:rPr>
                <w:rFonts w:hint="eastAsia" w:ascii="宋体" w:cs="宋体"/>
                <w:color w:val="auto"/>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spacing w:line="240" w:lineRule="auto"/>
              <w:jc w:val="center"/>
              <w:rPr>
                <w:rFonts w:hint="eastAsia" w:ascii="宋体" w:cs="宋体"/>
                <w:color w:val="auto"/>
                <w:sz w:val="20"/>
                <w:szCs w:val="20"/>
                <w:highlight w:val="none"/>
              </w:rPr>
            </w:pPr>
          </w:p>
        </w:tc>
        <w:tc>
          <w:tcPr>
            <w:tcW w:w="1456" w:type="dxa"/>
            <w:tcBorders>
              <w:top w:val="nil"/>
              <w:left w:val="nil"/>
              <w:bottom w:val="single" w:color="auto" w:sz="4" w:space="0"/>
              <w:right w:val="single" w:color="auto" w:sz="4" w:space="0"/>
            </w:tcBorders>
            <w:shd w:val="clear" w:color="000000" w:fill="FFFFFF"/>
            <w:noWrap w:val="0"/>
            <w:vAlign w:val="center"/>
          </w:tcPr>
          <w:p>
            <w:pPr>
              <w:spacing w:line="240" w:lineRule="auto"/>
              <w:jc w:val="center"/>
              <w:rPr>
                <w:rFonts w:hint="eastAsia" w:ascii="宋体" w:cs="宋体"/>
                <w:color w:val="auto"/>
                <w:sz w:val="20"/>
                <w:szCs w:val="20"/>
                <w:highlight w:val="none"/>
              </w:rPr>
            </w:pPr>
          </w:p>
        </w:tc>
      </w:tr>
      <w:tr>
        <w:tblPrEx>
          <w:tblCellMar>
            <w:top w:w="0" w:type="dxa"/>
            <w:left w:w="108" w:type="dxa"/>
            <w:bottom w:w="0" w:type="dxa"/>
            <w:right w:w="108" w:type="dxa"/>
          </w:tblCellMar>
        </w:tblPrEx>
        <w:trPr>
          <w:trHeight w:val="420" w:hRule="atLeast"/>
        </w:trPr>
        <w:tc>
          <w:tcPr>
            <w:tcW w:w="25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排  序</w:t>
            </w: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653"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c>
          <w:tcPr>
            <w:tcW w:w="1456" w:type="dxa"/>
            <w:tcBorders>
              <w:top w:val="nil"/>
              <w:left w:val="nil"/>
              <w:bottom w:val="single" w:color="auto" w:sz="4" w:space="0"/>
              <w:right w:val="single" w:color="auto" w:sz="4" w:space="0"/>
            </w:tcBorders>
            <w:shd w:val="clear" w:color="000000" w:fill="FFFFFF"/>
            <w:noWrap w:val="0"/>
            <w:vAlign w:val="center"/>
          </w:tcPr>
          <w:p>
            <w:pPr>
              <w:widowControl/>
              <w:spacing w:line="240" w:lineRule="auto"/>
              <w:jc w:val="center"/>
              <w:rPr>
                <w:rFonts w:hint="eastAsia" w:ascii="宋体" w:cs="宋体"/>
                <w:color w:val="auto"/>
                <w:kern w:val="0"/>
                <w:sz w:val="20"/>
                <w:szCs w:val="20"/>
                <w:highlight w:val="none"/>
              </w:rPr>
            </w:pPr>
          </w:p>
        </w:tc>
      </w:tr>
      <w:tr>
        <w:tblPrEx>
          <w:tblCellMar>
            <w:top w:w="0" w:type="dxa"/>
            <w:left w:w="108" w:type="dxa"/>
            <w:bottom w:w="0" w:type="dxa"/>
            <w:right w:w="108" w:type="dxa"/>
          </w:tblCellMar>
        </w:tblPrEx>
        <w:trPr>
          <w:trHeight w:val="405" w:hRule="atLeast"/>
        </w:trPr>
        <w:tc>
          <w:tcPr>
            <w:tcW w:w="2560" w:type="dxa"/>
            <w:gridSpan w:val="2"/>
            <w:tcBorders>
              <w:top w:val="nil"/>
              <w:left w:val="nil"/>
              <w:bottom w:val="nil"/>
              <w:right w:val="nil"/>
            </w:tcBorders>
            <w:shd w:val="clear" w:color="000000" w:fill="FFFFFF"/>
            <w:noWrap w:val="0"/>
            <w:vAlign w:val="center"/>
          </w:tcPr>
          <w:p>
            <w:pPr>
              <w:widowControl/>
              <w:spacing w:line="240" w:lineRule="auto"/>
              <w:rPr>
                <w:rFonts w:hint="eastAsia" w:ascii="宋体" w:cs="宋体"/>
                <w:color w:val="auto"/>
                <w:kern w:val="0"/>
                <w:sz w:val="20"/>
                <w:szCs w:val="20"/>
                <w:highlight w:val="none"/>
              </w:rPr>
            </w:pPr>
            <w:r>
              <w:rPr>
                <w:rFonts w:hint="eastAsia" w:ascii="宋体" w:cs="宋体"/>
                <w:color w:val="auto"/>
                <w:kern w:val="0"/>
                <w:sz w:val="20"/>
                <w:szCs w:val="20"/>
                <w:highlight w:val="none"/>
                <w:lang w:val="en-US" w:eastAsia="zh-CN"/>
              </w:rPr>
              <w:t>磋商小组</w:t>
            </w:r>
            <w:r>
              <w:rPr>
                <w:rFonts w:hint="eastAsia" w:ascii="宋体" w:cs="宋体"/>
                <w:color w:val="auto"/>
                <w:kern w:val="0"/>
                <w:sz w:val="20"/>
                <w:szCs w:val="20"/>
                <w:highlight w:val="none"/>
              </w:rPr>
              <w:t>（签名）：</w:t>
            </w:r>
          </w:p>
        </w:tc>
        <w:tc>
          <w:tcPr>
            <w:tcW w:w="1653" w:type="dxa"/>
            <w:tcBorders>
              <w:top w:val="nil"/>
              <w:left w:val="nil"/>
              <w:bottom w:val="nil"/>
              <w:right w:val="nil"/>
            </w:tcBorders>
            <w:shd w:val="clear" w:color="000000" w:fill="FFFFFF"/>
            <w:noWrap w:val="0"/>
            <w:vAlign w:val="center"/>
          </w:tcPr>
          <w:p>
            <w:pPr>
              <w:widowControl/>
              <w:spacing w:line="240" w:lineRule="auto"/>
              <w:rPr>
                <w:rFonts w:hint="eastAsia" w:ascii="宋体" w:cs="宋体"/>
                <w:color w:val="auto"/>
                <w:kern w:val="0"/>
                <w:sz w:val="20"/>
                <w:szCs w:val="20"/>
                <w:highlight w:val="none"/>
              </w:rPr>
            </w:pPr>
          </w:p>
        </w:tc>
        <w:tc>
          <w:tcPr>
            <w:tcW w:w="1653" w:type="dxa"/>
            <w:tcBorders>
              <w:top w:val="nil"/>
              <w:left w:val="nil"/>
              <w:bottom w:val="nil"/>
              <w:right w:val="nil"/>
            </w:tcBorders>
            <w:shd w:val="clear" w:color="000000" w:fill="FFFFFF"/>
            <w:noWrap w:val="0"/>
            <w:vAlign w:val="center"/>
          </w:tcPr>
          <w:p>
            <w:pPr>
              <w:widowControl/>
              <w:spacing w:line="240" w:lineRule="auto"/>
              <w:rPr>
                <w:rFonts w:hint="eastAsia" w:ascii="宋体" w:cs="宋体"/>
                <w:color w:val="auto"/>
                <w:kern w:val="0"/>
                <w:sz w:val="20"/>
                <w:szCs w:val="20"/>
                <w:highlight w:val="none"/>
              </w:rPr>
            </w:pPr>
          </w:p>
        </w:tc>
        <w:tc>
          <w:tcPr>
            <w:tcW w:w="1653" w:type="dxa"/>
            <w:tcBorders>
              <w:top w:val="nil"/>
              <w:left w:val="nil"/>
              <w:bottom w:val="nil"/>
              <w:right w:val="nil"/>
            </w:tcBorders>
            <w:shd w:val="clear" w:color="000000" w:fill="FFFFFF"/>
            <w:noWrap w:val="0"/>
            <w:vAlign w:val="center"/>
          </w:tcPr>
          <w:p>
            <w:pPr>
              <w:widowControl/>
              <w:spacing w:line="240" w:lineRule="auto"/>
              <w:rPr>
                <w:rFonts w:hint="eastAsia" w:ascii="宋体" w:cs="宋体"/>
                <w:color w:val="auto"/>
                <w:kern w:val="0"/>
                <w:sz w:val="20"/>
                <w:szCs w:val="20"/>
                <w:highlight w:val="none"/>
              </w:rPr>
            </w:pPr>
          </w:p>
        </w:tc>
        <w:tc>
          <w:tcPr>
            <w:tcW w:w="1456" w:type="dxa"/>
            <w:tcBorders>
              <w:top w:val="nil"/>
              <w:left w:val="nil"/>
              <w:bottom w:val="nil"/>
              <w:right w:val="nil"/>
            </w:tcBorders>
            <w:shd w:val="clear" w:color="000000" w:fill="FFFFFF"/>
            <w:noWrap w:val="0"/>
            <w:vAlign w:val="center"/>
          </w:tcPr>
          <w:p>
            <w:pPr>
              <w:widowControl/>
              <w:spacing w:line="240" w:lineRule="auto"/>
              <w:rPr>
                <w:rFonts w:hint="eastAsia" w:ascii="宋体" w:cs="宋体"/>
                <w:color w:val="auto"/>
                <w:kern w:val="0"/>
                <w:sz w:val="20"/>
                <w:szCs w:val="20"/>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0</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31"/>
      </w:pBdr>
      <w:tabs>
        <w:tab w:val="left" w:pos="7065"/>
        <w:tab w:val="clear" w:pos="4153"/>
        <w:tab w:val="clear" w:pos="8306"/>
      </w:tabs>
      <w:jc w:val="both"/>
      <w:rPr>
        <w:rFonts w:hint="eastAsia" w:ascii="幼圆" w:hAnsi="华文细黑" w:eastAsia="幼圆"/>
        <w:iCs/>
      </w:rPr>
    </w:pPr>
    <w:r>
      <w:rPr>
        <w:rFonts w:ascii="幼圆" w:hAnsi="华文细黑" w:eastAsia="幼圆"/>
        <w:i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A"/>
    <w:multiLevelType w:val="multilevel"/>
    <w:tmpl w:val="0000001A"/>
    <w:lvl w:ilvl="0" w:tentative="0">
      <w:start w:val="1"/>
      <w:numFmt w:val="japaneseCounting"/>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26"/>
    <w:multiLevelType w:val="multilevel"/>
    <w:tmpl w:val="00000026"/>
    <w:lvl w:ilvl="0" w:tentative="0">
      <w:start w:val="1"/>
      <w:numFmt w:val="decimal"/>
      <w:lvlText w:val="（%1）"/>
      <w:lvlJc w:val="left"/>
      <w:pPr>
        <w:tabs>
          <w:tab w:val="left" w:pos="-28"/>
        </w:tabs>
        <w:ind w:left="256" w:firstLine="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YTg1MTUyNTkzNjhlN2FhNTYyZWU4YWYzNjczNDcifQ=="/>
  </w:docVars>
  <w:rsids>
    <w:rsidRoot w:val="0F0D2479"/>
    <w:rsid w:val="005C75D6"/>
    <w:rsid w:val="045A1C1E"/>
    <w:rsid w:val="05996D5A"/>
    <w:rsid w:val="084019C0"/>
    <w:rsid w:val="0F0D2479"/>
    <w:rsid w:val="1256218B"/>
    <w:rsid w:val="139806C4"/>
    <w:rsid w:val="15954A35"/>
    <w:rsid w:val="19EF76D3"/>
    <w:rsid w:val="1C4649C0"/>
    <w:rsid w:val="1DC4288D"/>
    <w:rsid w:val="28AF67E0"/>
    <w:rsid w:val="2981140D"/>
    <w:rsid w:val="2CE74987"/>
    <w:rsid w:val="2D0C393B"/>
    <w:rsid w:val="2EFC30B5"/>
    <w:rsid w:val="309C1CAB"/>
    <w:rsid w:val="356D3C16"/>
    <w:rsid w:val="3665466F"/>
    <w:rsid w:val="380406E4"/>
    <w:rsid w:val="408D668C"/>
    <w:rsid w:val="43EA577A"/>
    <w:rsid w:val="44583CE3"/>
    <w:rsid w:val="4C9B51B7"/>
    <w:rsid w:val="53D94EA1"/>
    <w:rsid w:val="5B1A5A75"/>
    <w:rsid w:val="5F082730"/>
    <w:rsid w:val="68586E5C"/>
    <w:rsid w:val="692C5D69"/>
    <w:rsid w:val="6DC32158"/>
    <w:rsid w:val="78574485"/>
    <w:rsid w:val="79044C3C"/>
    <w:rsid w:val="7ADC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jc w:val="center"/>
      <w:outlineLvl w:val="0"/>
    </w:pPr>
    <w:rPr>
      <w:rFonts w:ascii="宋体" w:hAnsi="宋体"/>
      <w:b/>
      <w:kern w:val="44"/>
      <w:sz w:val="28"/>
      <w:szCs w:val="20"/>
    </w:rPr>
  </w:style>
  <w:style w:type="paragraph" w:styleId="4">
    <w:name w:val="heading 2"/>
    <w:basedOn w:val="1"/>
    <w:next w:val="1"/>
    <w:qFormat/>
    <w:uiPriority w:val="0"/>
    <w:pPr>
      <w:keepNext/>
      <w:numPr>
        <w:ilvl w:val="0"/>
        <w:numId w:val="1"/>
      </w:numPr>
      <w:tabs>
        <w:tab w:val="left" w:pos="7860"/>
      </w:tabs>
      <w:jc w:val="center"/>
      <w:outlineLvl w:val="1"/>
    </w:pPr>
    <w:rPr>
      <w:sz w:val="28"/>
      <w:szCs w:val="20"/>
    </w:rPr>
  </w:style>
  <w:style w:type="paragraph" w:styleId="5">
    <w:name w:val="heading 3"/>
    <w:basedOn w:val="1"/>
    <w:next w:val="1"/>
    <w:qFormat/>
    <w:uiPriority w:val="0"/>
    <w:pPr>
      <w:keepNext/>
      <w:keepLines/>
      <w:spacing w:before="260" w:beforeLines="0" w:after="260" w:afterLines="0" w:line="320" w:lineRule="exact"/>
      <w:outlineLvl w:val="2"/>
    </w:pPr>
    <w:rPr>
      <w:rFonts w:ascii="Calibri" w:hAnsi="Calibri" w:eastAsia="宋体"/>
      <w:bCs/>
      <w:sz w:val="24"/>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 w:val="32"/>
    </w:rPr>
  </w:style>
  <w:style w:type="paragraph" w:styleId="6">
    <w:name w:val="Normal Indent"/>
    <w:basedOn w:val="1"/>
    <w:qFormat/>
    <w:uiPriority w:val="0"/>
    <w:pPr>
      <w:ind w:firstLine="420"/>
    </w:pPr>
    <w:rPr>
      <w:szCs w:val="20"/>
    </w:rPr>
  </w:style>
  <w:style w:type="paragraph" w:styleId="7">
    <w:name w:val="Body Text"/>
    <w:basedOn w:val="1"/>
    <w:next w:val="8"/>
    <w:qFormat/>
    <w:uiPriority w:val="0"/>
    <w:pPr>
      <w:tabs>
        <w:tab w:val="left" w:pos="105"/>
      </w:tabs>
      <w:spacing w:line="500" w:lineRule="exact"/>
    </w:pPr>
    <w:rPr>
      <w:sz w:val="28"/>
      <w:szCs w:val="20"/>
    </w:rPr>
  </w:style>
  <w:style w:type="paragraph" w:customStyle="1" w:styleId="8">
    <w:name w:val="_Style 2"/>
    <w:basedOn w:val="1"/>
    <w:next w:val="1"/>
    <w:qFormat/>
    <w:uiPriority w:val="99"/>
    <w:pPr>
      <w:ind w:firstLine="420" w:firstLineChars="200"/>
    </w:pPr>
    <w:rPr>
      <w:rFonts w:ascii="Calibri" w:hAnsi="Calibri" w:cs="Calibri"/>
      <w:szCs w:val="21"/>
    </w:rPr>
  </w:style>
  <w:style w:type="paragraph" w:styleId="9">
    <w:name w:val="Body Text Indent"/>
    <w:basedOn w:val="1"/>
    <w:unhideWhenUsed/>
    <w:qFormat/>
    <w:uiPriority w:val="0"/>
    <w:pPr>
      <w:spacing w:line="360" w:lineRule="auto"/>
      <w:ind w:left="564"/>
    </w:pPr>
  </w:style>
  <w:style w:type="paragraph" w:styleId="10">
    <w:name w:val="toc 3"/>
    <w:basedOn w:val="1"/>
    <w:next w:val="1"/>
    <w:qFormat/>
    <w:uiPriority w:val="39"/>
    <w:pPr>
      <w:tabs>
        <w:tab w:val="right" w:leader="dot" w:pos="8640"/>
      </w:tabs>
      <w:ind w:left="-900" w:firstLine="1080" w:firstLineChars="540"/>
      <w:jc w:val="left"/>
    </w:pPr>
    <w:rPr>
      <w:i/>
      <w:iCs/>
      <w:sz w:val="20"/>
      <w:szCs w:val="20"/>
    </w:rPr>
  </w:style>
  <w:style w:type="paragraph" w:styleId="11">
    <w:name w:val="Plain Text"/>
    <w:basedOn w:val="1"/>
    <w:qFormat/>
    <w:uiPriority w:val="99"/>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Body Text Indent 3"/>
    <w:basedOn w:val="1"/>
    <w:qFormat/>
    <w:uiPriority w:val="0"/>
    <w:pPr>
      <w:spacing w:line="560" w:lineRule="exact"/>
      <w:ind w:firstLine="538" w:firstLineChars="192"/>
      <w:jc w:val="left"/>
    </w:pPr>
    <w:rPr>
      <w:rFonts w:ascii="宋体" w:hAnsi="宋体"/>
      <w:sz w:val="28"/>
    </w:rPr>
  </w:style>
  <w:style w:type="paragraph" w:styleId="15">
    <w:name w:val="Normal (Web)"/>
    <w:basedOn w:val="1"/>
    <w:qFormat/>
    <w:uiPriority w:val="99"/>
    <w:pPr>
      <w:widowControl/>
      <w:jc w:val="left"/>
    </w:pPr>
    <w:rPr>
      <w:rFonts w:ascii="Arial Narrow" w:hAnsi="Arial Narrow" w:cs="宋体"/>
      <w:kern w:val="0"/>
      <w:sz w:val="18"/>
      <w:szCs w:val="1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Default"/>
    <w:next w:val="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
    <w:name w:val="WPSOffice手动目录 1"/>
    <w:qFormat/>
    <w:uiPriority w:val="0"/>
    <w:pPr>
      <w:ind w:leftChars="0"/>
    </w:pPr>
    <w:rPr>
      <w:rFonts w:ascii="Calibri" w:hAnsi="Calibri" w:eastAsia="宋体" w:cs="Times New Roman"/>
      <w:sz w:val="20"/>
      <w:szCs w:val="20"/>
    </w:rPr>
  </w:style>
  <w:style w:type="paragraph" w:customStyle="1" w:styleId="24">
    <w:name w:val="WPSOffice手动目录 2"/>
    <w:qFormat/>
    <w:uiPriority w:val="0"/>
    <w:pPr>
      <w:ind w:leftChars="200"/>
    </w:pPr>
    <w:rPr>
      <w:rFonts w:ascii="Calibri" w:hAnsi="Calibri" w:eastAsia="宋体" w:cs="Times New Roman"/>
      <w:sz w:val="20"/>
      <w:szCs w:val="20"/>
    </w:rPr>
  </w:style>
  <w:style w:type="paragraph" w:customStyle="1" w:styleId="25">
    <w:name w:val="样式 标题 1 + 楷体_GB2312 小四 行距: 单倍行距"/>
    <w:basedOn w:val="3"/>
    <w:qFormat/>
    <w:uiPriority w:val="0"/>
    <w:pPr>
      <w:pageBreakBefore/>
      <w:spacing w:line="240" w:lineRule="auto"/>
    </w:pPr>
    <w:rPr>
      <w:rFonts w:ascii="楷体_GB2312" w:eastAsia="仿宋_GB2312"/>
      <w:bCs/>
      <w:sz w:val="36"/>
    </w:rPr>
  </w:style>
  <w:style w:type="paragraph" w:customStyle="1" w:styleId="26">
    <w:name w:val="样式 标题 2 + 宋体"/>
    <w:basedOn w:val="27"/>
    <w:qFormat/>
    <w:uiPriority w:val="0"/>
    <w:pPr>
      <w:tabs>
        <w:tab w:val="left" w:pos="0"/>
        <w:tab w:val="left" w:pos="360"/>
      </w:tabs>
      <w:spacing w:before="120" w:after="120"/>
    </w:pPr>
    <w:rPr>
      <w:color w:val="3366FF"/>
      <w:sz w:val="24"/>
    </w:rPr>
  </w:style>
  <w:style w:type="paragraph" w:customStyle="1" w:styleId="27">
    <w:name w:val="A正文"/>
    <w:basedOn w:val="1"/>
    <w:qFormat/>
    <w:uiPriority w:val="0"/>
    <w:pPr>
      <w:ind w:firstLine="480"/>
      <w:textAlignment w:val="baseline"/>
    </w:pPr>
    <w:rPr>
      <w:rFonts w:ascii="宋体" w:hAnsi="宋体"/>
      <w:snapToGrid w:val="0"/>
      <w:kern w:val="0"/>
    </w:rPr>
  </w:style>
  <w:style w:type="paragraph" w:customStyle="1" w:styleId="2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12179</Words>
  <Characters>12766</Characters>
  <Lines>0</Lines>
  <Paragraphs>0</Paragraphs>
  <TotalTime>33</TotalTime>
  <ScaleCrop>false</ScaleCrop>
  <LinksUpToDate>false</LinksUpToDate>
  <CharactersWithSpaces>13843</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2022-08-16T03:03:00Z</dcterms:created>
  <dc:creator>『我是我的情人』</dc:creator>
  <cp:lastModifiedBy>Administrator</cp:lastModifiedBy>
  <dcterms:modified xsi:type="dcterms:W3CDTF">2022-11-24T07:09:30Z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7BDE378D5AEF480D90DFC013E0D97D79</vt:lpwstr>
  </property>
</Properties>
</file>