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观山湖区卫生健康局</w:t>
      </w:r>
      <w:r>
        <w:rPr>
          <w:rFonts w:hint="eastAsia"/>
          <w:b/>
          <w:sz w:val="44"/>
          <w:szCs w:val="44"/>
          <w:lang w:val="en-US" w:eastAsia="zh-CN"/>
        </w:rPr>
        <w:t>2019年</w:t>
      </w:r>
      <w:r>
        <w:rPr>
          <w:rFonts w:hint="eastAsia"/>
          <w:b/>
          <w:sz w:val="44"/>
          <w:szCs w:val="44"/>
        </w:rPr>
        <w:t>法治政府建设</w:t>
      </w:r>
    </w:p>
    <w:p>
      <w:pPr>
        <w:jc w:val="center"/>
        <w:rPr>
          <w:b/>
          <w:sz w:val="44"/>
          <w:szCs w:val="44"/>
        </w:rPr>
      </w:pPr>
      <w:r>
        <w:rPr>
          <w:rFonts w:hint="eastAsia"/>
          <w:b/>
          <w:sz w:val="44"/>
          <w:szCs w:val="44"/>
        </w:rPr>
        <w:t>工作</w:t>
      </w:r>
      <w:r>
        <w:rPr>
          <w:rFonts w:hint="eastAsia"/>
          <w:b/>
          <w:sz w:val="44"/>
          <w:szCs w:val="44"/>
          <w:lang w:eastAsia="zh-CN"/>
        </w:rPr>
        <w:t>情况</w:t>
      </w:r>
      <w:r>
        <w:rPr>
          <w:rFonts w:hint="eastAsia"/>
          <w:b/>
          <w:sz w:val="44"/>
          <w:szCs w:val="44"/>
        </w:rPr>
        <w:t>报告</w:t>
      </w:r>
    </w:p>
    <w:p>
      <w:pPr>
        <w:ind w:firstLine="640" w:firstLineChars="200"/>
        <w:jc w:val="left"/>
        <w:rPr>
          <w:rFonts w:ascii="仿宋_GB2312" w:eastAsia="仿宋_GB2312"/>
          <w:sz w:val="32"/>
          <w:szCs w:val="32"/>
        </w:rPr>
      </w:pPr>
    </w:p>
    <w:p>
      <w:pPr>
        <w:ind w:firstLine="640"/>
        <w:jc w:val="left"/>
        <w:rPr>
          <w:rFonts w:hint="eastAsia" w:ascii="仿宋_GB2312" w:eastAsia="仿宋_GB2312"/>
          <w:sz w:val="32"/>
          <w:szCs w:val="32"/>
        </w:rPr>
      </w:pPr>
      <w:r>
        <w:rPr>
          <w:rFonts w:hint="eastAsia" w:ascii="仿宋_GB2312" w:eastAsia="仿宋_GB2312"/>
          <w:sz w:val="32"/>
          <w:szCs w:val="32"/>
          <w:lang w:val="en-US" w:eastAsia="zh-CN"/>
        </w:rPr>
        <w:t>按照</w:t>
      </w:r>
      <w:r>
        <w:rPr>
          <w:rFonts w:hint="eastAsia" w:ascii="仿宋_GB2312" w:eastAsia="仿宋_GB2312"/>
          <w:sz w:val="32"/>
          <w:szCs w:val="32"/>
        </w:rPr>
        <w:t>区委、区政府</w:t>
      </w:r>
      <w:r>
        <w:rPr>
          <w:rFonts w:hint="eastAsia" w:ascii="仿宋_GB2312" w:eastAsia="仿宋_GB2312"/>
          <w:sz w:val="32"/>
          <w:szCs w:val="32"/>
          <w:lang w:eastAsia="zh-CN"/>
        </w:rPr>
        <w:t>的工作安排部署</w:t>
      </w:r>
      <w:r>
        <w:rPr>
          <w:rFonts w:hint="eastAsia" w:ascii="仿宋_GB2312" w:eastAsia="仿宋_GB2312"/>
          <w:sz w:val="32"/>
          <w:szCs w:val="32"/>
        </w:rPr>
        <w:t>，现将观山湖区卫生健康局</w:t>
      </w:r>
      <w:r>
        <w:rPr>
          <w:rFonts w:hint="eastAsia" w:ascii="仿宋_GB2312" w:eastAsia="仿宋_GB2312"/>
          <w:sz w:val="32"/>
          <w:szCs w:val="32"/>
          <w:lang w:val="en-US" w:eastAsia="zh-CN"/>
        </w:rPr>
        <w:t>2019年</w:t>
      </w:r>
      <w:r>
        <w:rPr>
          <w:rFonts w:hint="eastAsia" w:ascii="仿宋_GB2312" w:eastAsia="仿宋_GB2312"/>
          <w:sz w:val="32"/>
          <w:szCs w:val="32"/>
        </w:rPr>
        <w:t>法治政府建设工作</w:t>
      </w:r>
      <w:r>
        <w:rPr>
          <w:rFonts w:hint="eastAsia" w:ascii="仿宋_GB2312" w:eastAsia="仿宋_GB2312"/>
          <w:sz w:val="32"/>
          <w:szCs w:val="32"/>
          <w:lang w:eastAsia="zh-CN"/>
        </w:rPr>
        <w:t>情况</w:t>
      </w:r>
      <w:r>
        <w:rPr>
          <w:rFonts w:hint="eastAsia" w:ascii="仿宋_GB2312" w:eastAsia="仿宋_GB2312"/>
          <w:sz w:val="32"/>
          <w:szCs w:val="32"/>
        </w:rPr>
        <w:t>报告如下：</w:t>
      </w:r>
    </w:p>
    <w:p>
      <w:pPr>
        <w:pStyle w:val="8"/>
        <w:numPr>
          <w:ilvl w:val="0"/>
          <w:numId w:val="0"/>
        </w:numPr>
        <w:ind w:left="420" w:leftChars="0" w:firstLine="321" w:firstLineChars="100"/>
        <w:rPr>
          <w:rFonts w:ascii="仿宋_GB2312" w:eastAsia="仿宋_GB2312"/>
          <w:b/>
          <w:bCs/>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依法全面履行政府职能</w:t>
      </w:r>
    </w:p>
    <w:p>
      <w:pPr>
        <w:ind w:left="319" w:leftChars="152" w:firstLine="320" w:firstLineChars="100"/>
        <w:jc w:val="left"/>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深化行政审批制度改革</w:t>
      </w:r>
      <w:r>
        <w:rPr>
          <w:rFonts w:hint="eastAsia" w:ascii="仿宋_GB2312" w:eastAsia="仿宋_GB2312"/>
          <w:sz w:val="32"/>
          <w:szCs w:val="32"/>
          <w:lang w:eastAsia="zh-CN"/>
        </w:rPr>
        <w:t>，</w:t>
      </w:r>
      <w:r>
        <w:rPr>
          <w:rFonts w:hint="eastAsia" w:ascii="仿宋_GB2312" w:eastAsia="仿宋_GB2312"/>
          <w:sz w:val="32"/>
          <w:szCs w:val="32"/>
        </w:rPr>
        <w:t>完善清单动态管理机制</w:t>
      </w:r>
      <w:r>
        <w:rPr>
          <w:rFonts w:hint="eastAsia" w:ascii="仿宋_GB2312" w:eastAsia="仿宋_GB2312"/>
          <w:sz w:val="32"/>
          <w:szCs w:val="32"/>
          <w:lang w:eastAsia="zh-CN"/>
        </w:rPr>
        <w:t>。</w:t>
      </w:r>
    </w:p>
    <w:p>
      <w:pPr>
        <w:ind w:firstLine="640" w:firstLineChars="200"/>
        <w:jc w:val="left"/>
        <w:rPr>
          <w:rFonts w:hint="eastAsia" w:ascii="仿宋_GB2312" w:hAnsi="黑体" w:eastAsia="仿宋_GB2312" w:cs="仿宋_GB2312"/>
          <w:sz w:val="32"/>
          <w:szCs w:val="32"/>
        </w:rPr>
      </w:pPr>
      <w:r>
        <w:rPr>
          <w:rFonts w:hint="eastAsia" w:ascii="仿宋_GB2312" w:eastAsia="仿宋_GB2312"/>
          <w:sz w:val="32"/>
          <w:szCs w:val="32"/>
          <w:lang w:eastAsia="zh-CN"/>
        </w:rPr>
        <w:t>一是</w:t>
      </w:r>
      <w:r>
        <w:rPr>
          <w:rFonts w:hint="eastAsia" w:ascii="仿宋_GB2312" w:eastAsia="仿宋_GB2312"/>
          <w:sz w:val="32"/>
          <w:szCs w:val="32"/>
        </w:rPr>
        <w:t>审批服务便民化，对所有涉及市场准入的行政审批事项按“证照分离”模式进行分类管理。通过清理，取消行政许可1项，行政许可改为承诺制办理1项，网上办理2项，当场办理1项，承诺办理4项，限时办理5项</w:t>
      </w:r>
      <w:r>
        <w:rPr>
          <w:rFonts w:hint="eastAsia" w:ascii="仿宋_GB2312" w:eastAsia="仿宋_GB2312"/>
          <w:sz w:val="32"/>
          <w:szCs w:val="32"/>
          <w:lang w:eastAsia="zh-CN"/>
        </w:rPr>
        <w:t>，</w:t>
      </w:r>
      <w:r>
        <w:rPr>
          <w:rFonts w:hint="eastAsia" w:ascii="仿宋_GB2312" w:eastAsia="仿宋_GB2312"/>
          <w:sz w:val="32"/>
          <w:szCs w:val="32"/>
        </w:rPr>
        <w:t>就近办理4项</w:t>
      </w:r>
      <w:r>
        <w:rPr>
          <w:rFonts w:hint="eastAsia" w:ascii="仿宋_GB2312" w:eastAsia="仿宋_GB2312"/>
          <w:sz w:val="32"/>
          <w:szCs w:val="32"/>
          <w:lang w:eastAsia="zh-CN"/>
        </w:rPr>
        <w:t>；二是</w:t>
      </w:r>
      <w:r>
        <w:rPr>
          <w:rFonts w:hint="eastAsia" w:ascii="仿宋_GB2312" w:eastAsia="仿宋_GB2312"/>
          <w:sz w:val="32"/>
          <w:szCs w:val="32"/>
        </w:rPr>
        <w:t>梳理权力清单，根据实际执法权限，共清理行政权力</w:t>
      </w:r>
      <w:r>
        <w:rPr>
          <w:rFonts w:hint="eastAsia" w:ascii="仿宋_GB2312" w:hAnsi="黑体" w:eastAsia="仿宋_GB2312" w:cs="仿宋_GB2312"/>
          <w:sz w:val="32"/>
          <w:szCs w:val="32"/>
        </w:rPr>
        <w:t>221项，其中行政许可 15项，行政处罚181项，行政检查5项、行政奖励1项、行政强制9项、行政给付1项、行政确认2项、行政征收1项、行政裁决1项，其他5项；</w:t>
      </w: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优化公共服务</w:t>
      </w:r>
      <w:r>
        <w:rPr>
          <w:rFonts w:hint="eastAsia" w:ascii="仿宋_GB2312" w:hAnsi="仿宋_GB2312" w:eastAsia="仿宋_GB2312" w:cs="仿宋_GB2312"/>
          <w:sz w:val="32"/>
          <w:szCs w:val="32"/>
          <w:lang w:eastAsia="zh-CN"/>
        </w:rPr>
        <w:t>，</w:t>
      </w:r>
      <w:r>
        <w:rPr>
          <w:rFonts w:hint="eastAsia" w:ascii="仿宋_GB2312" w:hAnsi="黑体" w:eastAsia="仿宋_GB2312" w:cs="仿宋_GB2312"/>
          <w:sz w:val="32"/>
          <w:szCs w:val="32"/>
        </w:rPr>
        <w:t>加强市场监管。</w:t>
      </w:r>
      <w:r>
        <w:rPr>
          <w:rFonts w:hint="eastAsia" w:ascii="仿宋_GB2312" w:hAnsi="黑体" w:eastAsia="仿宋_GB2312"/>
          <w:sz w:val="32"/>
          <w:szCs w:val="32"/>
        </w:rPr>
        <w:t>一是减少审批环节，精简申报资料，明确和统一审批条件、审查标准，</w:t>
      </w:r>
      <w:r>
        <w:rPr>
          <w:rFonts w:hint="eastAsia" w:ascii="仿宋_GB2312" w:hAnsi="仿宋_GB2312" w:eastAsia="仿宋_GB2312" w:cs="仿宋_GB2312"/>
          <w:sz w:val="32"/>
          <w:szCs w:val="32"/>
        </w:rPr>
        <w:t>进一步简化审批流程，缩短审批时限，提高审批效率</w:t>
      </w:r>
      <w:r>
        <w:rPr>
          <w:rFonts w:hint="eastAsia" w:ascii="仿宋_GB2312" w:hAnsi="仿宋_GB2312" w:eastAsia="仿宋_GB2312" w:cs="仿宋_GB2312"/>
          <w:sz w:val="32"/>
          <w:szCs w:val="32"/>
          <w:lang w:eastAsia="zh-CN"/>
        </w:rPr>
        <w:t>，</w:t>
      </w:r>
      <w:r>
        <w:rPr>
          <w:rFonts w:hint="eastAsia" w:ascii="仿宋_GB2312" w:hAnsi="宋体" w:eastAsia="仿宋_GB2312" w:cs="仿宋_GB2312"/>
          <w:color w:val="231F20"/>
          <w:kern w:val="0"/>
          <w:sz w:val="32"/>
          <w:szCs w:val="32"/>
        </w:rPr>
        <w:t>对二级及以下医疗机构的设置审批和执业登记实行“两证合一”</w:t>
      </w:r>
      <w:r>
        <w:rPr>
          <w:rFonts w:hint="eastAsia" w:ascii="仿宋_GB2312" w:hAnsi="宋体" w:eastAsia="仿宋_GB2312" w:cs="仿宋_GB2312"/>
          <w:color w:val="231F20"/>
          <w:kern w:val="0"/>
          <w:sz w:val="32"/>
          <w:szCs w:val="32"/>
          <w:lang w:eastAsia="zh-CN"/>
        </w:rPr>
        <w:t>；</w:t>
      </w:r>
      <w:r>
        <w:rPr>
          <w:rFonts w:hint="eastAsia" w:ascii="仿宋_GB2312" w:hAnsi="宋体" w:eastAsia="仿宋_GB2312" w:cs="仿宋_GB2312"/>
          <w:color w:val="231F20"/>
          <w:kern w:val="0"/>
          <w:sz w:val="32"/>
          <w:szCs w:val="32"/>
        </w:rPr>
        <w:t>二是</w:t>
      </w:r>
      <w:r>
        <w:rPr>
          <w:rFonts w:hint="eastAsia" w:ascii="仿宋_GB2312" w:hAnsi="黑体" w:eastAsia="仿宋_GB2312"/>
          <w:sz w:val="32"/>
          <w:szCs w:val="32"/>
        </w:rPr>
        <w:t>减少审批时间，审批事项的审批承诺时限原则上不超过法定时限的50%，其中公共场所许可实现告知承若当日发证制，本年度365家公共场所许可实现了窗口一次性办结，让当事人办证方便、简单、快捷</w:t>
      </w:r>
      <w:r>
        <w:rPr>
          <w:rFonts w:hint="eastAsia" w:ascii="仿宋_GB2312" w:hAnsi="黑体" w:eastAsia="仿宋_GB2312"/>
          <w:sz w:val="32"/>
          <w:szCs w:val="32"/>
          <w:lang w:eastAsia="zh-CN"/>
        </w:rPr>
        <w:t>，</w:t>
      </w:r>
      <w:r>
        <w:rPr>
          <w:rFonts w:hint="eastAsia" w:ascii="仿宋_GB2312" w:hAnsi="黑体" w:eastAsia="仿宋_GB2312"/>
          <w:sz w:val="32"/>
          <w:szCs w:val="32"/>
        </w:rPr>
        <w:t>窗口工作人员做到一次性书面告知审批服务对象其申办事项所需的全部资料，一次性回答清楚审批服务对象提问，一次性验清审批服务对象提交的材料，2019年共受理新办各类卫生许可证404家，其中公共场所365家，生活饮用水29家，新办放射诊疗许可证10家。另外，变更或延续许可76家</w:t>
      </w:r>
      <w:r>
        <w:rPr>
          <w:rFonts w:hint="eastAsia" w:ascii="仿宋_GB2312" w:eastAsia="仿宋_GB2312"/>
          <w:sz w:val="32"/>
          <w:szCs w:val="32"/>
          <w:lang w:eastAsia="zh-CN"/>
        </w:rPr>
        <w:t>。</w:t>
      </w:r>
    </w:p>
    <w:p>
      <w:pPr>
        <w:numPr>
          <w:ilvl w:val="0"/>
          <w:numId w:val="2"/>
        </w:numPr>
        <w:ind w:leftChars="200" w:firstLine="320" w:firstLineChars="1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坚持严格规范公正文明执法</w:t>
      </w:r>
      <w:r>
        <w:rPr>
          <w:rFonts w:hint="eastAsia" w:ascii="黑体" w:hAnsi="黑体" w:eastAsia="黑体" w:cs="黑体"/>
          <w:b w:val="0"/>
          <w:bCs w:val="0"/>
          <w:sz w:val="32"/>
          <w:szCs w:val="32"/>
          <w:lang w:eastAsia="zh-CN"/>
        </w:rPr>
        <w:t>。</w:t>
      </w:r>
    </w:p>
    <w:p>
      <w:pPr>
        <w:numPr>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（一）理顺</w:t>
      </w:r>
      <w:r>
        <w:rPr>
          <w:rFonts w:hint="eastAsia" w:ascii="仿宋_GB2312" w:hAnsi="仿宋_GB2312" w:eastAsia="仿宋_GB2312" w:cs="仿宋_GB2312"/>
          <w:sz w:val="32"/>
          <w:szCs w:val="32"/>
        </w:rPr>
        <w:t>行政执法，完善行政执法程序。</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明确观山湖区卫生计生综合执法大队为区卫生健康系统的执法机构，</w:t>
      </w:r>
      <w:r>
        <w:rPr>
          <w:rFonts w:hint="eastAsia" w:ascii="仿宋_GB2312" w:hAnsi="仿宋" w:eastAsia="仿宋_GB2312" w:cs="仿宋_GB2312"/>
          <w:sz w:val="32"/>
          <w:szCs w:val="32"/>
        </w:rPr>
        <w:t>核定事业编制13名，在编人数12名，在卫计监督执法工作岗位8名，另有18名临聘人员协助开展卫生监督执法工作，</w:t>
      </w:r>
      <w:r>
        <w:rPr>
          <w:rFonts w:hint="eastAsia" w:ascii="仿宋_GB2312" w:hAnsi="仿宋_GB2312" w:eastAsia="仿宋_GB2312" w:cs="仿宋_GB2312"/>
          <w:sz w:val="32"/>
          <w:szCs w:val="32"/>
        </w:rPr>
        <w:t>切实解决多头执法等问题</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健全行政执法和刑事司法衔接机制，坚决防止有</w:t>
      </w:r>
      <w:r>
        <w:rPr>
          <w:rFonts w:hint="eastAsia" w:ascii="仿宋_GB2312" w:hAnsi="仿宋_GB2312" w:eastAsia="仿宋_GB2312" w:cs="仿宋_GB2312"/>
          <w:sz w:val="32"/>
          <w:szCs w:val="32"/>
          <w:lang w:eastAsia="zh-CN"/>
        </w:rPr>
        <w:t>案</w:t>
      </w:r>
      <w:r>
        <w:rPr>
          <w:rFonts w:hint="eastAsia" w:ascii="仿宋_GB2312" w:hAnsi="仿宋_GB2312" w:eastAsia="仿宋_GB2312" w:cs="仿宋_GB2312"/>
          <w:sz w:val="32"/>
          <w:szCs w:val="32"/>
        </w:rPr>
        <w:t>不移、有案难移、以罚代刑等现象，今年以来，共移送涉嫌犯罪行政执法案件共7件</w:t>
      </w:r>
      <w:r>
        <w:rPr>
          <w:rFonts w:hint="eastAsia" w:ascii="仿宋_GB2312" w:hAnsi="仿宋_GB2312" w:eastAsia="仿宋_GB2312" w:cs="仿宋_GB2312"/>
          <w:sz w:val="32"/>
          <w:szCs w:val="32"/>
          <w:lang w:eastAsia="zh-CN"/>
        </w:rPr>
        <w:t>。</w:t>
      </w:r>
    </w:p>
    <w:p>
      <w:pPr>
        <w:numPr>
          <w:numId w:val="0"/>
        </w:numPr>
        <w:ind w:firstLine="640" w:firstLineChars="200"/>
        <w:rPr>
          <w:rFonts w:hint="eastAsia" w:ascii="仿宋_GB2312" w:hAnsi="Times New Roman" w:eastAsia="仿宋_GB2312"/>
          <w:color w:val="auto"/>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创新行政执法方式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行政执法监督。按照省市区行政执法“三项制度”的要求，根据上级业务部门的指导意见，拟定《观山湖区卫生健康局“三项制度”的实施方案》，明确了时间表、路线图，在卫生健康系统内全面推行行政执法公示制度、执法全过程记录制度，重大执法决定法制审核制度</w:t>
      </w:r>
      <w:r>
        <w:rPr>
          <w:rFonts w:hint="eastAsia" w:ascii="仿宋_GB2312" w:hAnsi="仿宋_GB2312" w:eastAsia="仿宋_GB2312" w:cs="仿宋_GB2312"/>
          <w:sz w:val="32"/>
          <w:szCs w:val="32"/>
          <w:lang w:eastAsia="zh-CN"/>
        </w:rPr>
        <w:t>。</w:t>
      </w:r>
      <w:r>
        <w:rPr>
          <w:rFonts w:hint="eastAsia" w:ascii="仿宋_GB2312" w:hAnsi="仿宋" w:eastAsia="仿宋_GB2312"/>
          <w:bCs/>
          <w:color w:val="000000"/>
          <w:sz w:val="32"/>
          <w:szCs w:val="32"/>
        </w:rPr>
        <w:t>落实国家卫生计生监督信息报告系统下发的双随机任务，同时对重点领域生活饮用水扩大抽取任务，本年度共抽取377家监管服务单位（医疗机构12家、学校卫生45家、公共场所277家、</w:t>
      </w:r>
      <w:r>
        <w:rPr>
          <w:rFonts w:hint="eastAsia" w:ascii="仿宋_GB2312" w:hAnsi="仿宋" w:eastAsia="仿宋_GB2312"/>
          <w:bCs/>
          <w:sz w:val="32"/>
          <w:szCs w:val="32"/>
        </w:rPr>
        <w:t>生活饮用水28家、传染病防治抽检任务14家、计划生育1家）进行卫生监督检测，抽检完成率100%，抽检合格率达84.6%，对抽检不合格的</w:t>
      </w:r>
      <w:r>
        <w:rPr>
          <w:rFonts w:hint="eastAsia" w:ascii="仿宋_GB2312" w:hAnsi="仿宋" w:eastAsia="仿宋_GB2312"/>
          <w:bCs/>
          <w:color w:val="000000"/>
          <w:sz w:val="32"/>
          <w:szCs w:val="32"/>
        </w:rPr>
        <w:t>公共场所、生活饮用水供水单位和学校，我局下达了整改意见书责令整改，对卫生问题较为严重的113家单位进行立案查处</w:t>
      </w:r>
      <w:r>
        <w:rPr>
          <w:rFonts w:hint="eastAsia" w:ascii="仿宋_GB2312" w:hAnsi="仿宋" w:eastAsia="仿宋_GB2312"/>
          <w:bCs/>
          <w:color w:val="000000"/>
          <w:sz w:val="32"/>
          <w:szCs w:val="32"/>
          <w:lang w:eastAsia="zh-CN"/>
        </w:rPr>
        <w:t>。</w:t>
      </w:r>
    </w:p>
    <w:p>
      <w:pPr>
        <w:ind w:firstLine="640" w:firstLineChars="200"/>
        <w:rPr>
          <w:rFonts w:hint="eastAsia" w:ascii="黑体" w:hAnsi="黑体" w:eastAsia="黑体" w:cs="黑体"/>
          <w:b w:val="0"/>
          <w:bCs w:val="0"/>
          <w:sz w:val="32"/>
          <w:szCs w:val="32"/>
          <w:lang w:eastAsia="zh-CN"/>
        </w:rPr>
      </w:pPr>
      <w:bookmarkStart w:id="0" w:name="_GoBack"/>
      <w:bookmarkEnd w:id="0"/>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依法有效化解社会矛盾纠纷</w:t>
      </w:r>
      <w:r>
        <w:rPr>
          <w:rFonts w:hint="eastAsia" w:ascii="黑体" w:hAnsi="黑体" w:eastAsia="黑体" w:cs="黑体"/>
          <w:b w:val="0"/>
          <w:bCs w:val="0"/>
          <w:sz w:val="32"/>
          <w:szCs w:val="32"/>
          <w:lang w:eastAsia="zh-CN"/>
        </w:rPr>
        <w:t>。</w:t>
      </w:r>
    </w:p>
    <w:p>
      <w:pPr>
        <w:numPr>
          <w:ilvl w:val="0"/>
          <w:numId w:val="0"/>
        </w:numPr>
        <w:ind w:firstLine="640" w:firstLineChars="200"/>
        <w:rPr>
          <w:rFonts w:hint="eastAsia" w:ascii="仿宋_GB2312" w:hAnsi="Times New Roman" w:eastAsia="仿宋_GB2312"/>
          <w:color w:val="auto"/>
          <w:sz w:val="32"/>
          <w:szCs w:val="32"/>
        </w:rPr>
      </w:pPr>
      <w:r>
        <w:rPr>
          <w:rFonts w:hint="eastAsia" w:ascii="仿宋_GB2312" w:hAnsi="仿宋_GB2312" w:eastAsia="仿宋_GB2312" w:cs="仿宋_GB2312"/>
          <w:sz w:val="32"/>
          <w:szCs w:val="32"/>
        </w:rPr>
        <w:t>制定《观山湖区卫生健康系统防范化解重大风险工作方案》，并按方案的要求，有效化解或稳控观山湖区 “百日攻坚”矛盾纠纷信访3起。</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color w:val="auto"/>
          <w:sz w:val="32"/>
          <w:szCs w:val="32"/>
        </w:rPr>
        <w:t>投诉举报机制，</w:t>
      </w:r>
      <w:r>
        <w:rPr>
          <w:rFonts w:hint="eastAsia" w:ascii="仿宋_GB2312" w:hAnsi="Times New Roman" w:eastAsia="仿宋_GB2312"/>
          <w:color w:val="auto"/>
          <w:sz w:val="32"/>
          <w:szCs w:val="32"/>
        </w:rPr>
        <w:t>今年以来，共收到和处理投诉案件3</w:t>
      </w:r>
      <w:r>
        <w:rPr>
          <w:rFonts w:hint="eastAsia" w:ascii="仿宋_GB2312" w:hAnsi="Times New Roman" w:eastAsia="仿宋_GB2312"/>
          <w:color w:val="auto"/>
          <w:sz w:val="32"/>
          <w:szCs w:val="32"/>
          <w:lang w:val="en-US" w:eastAsia="zh-CN"/>
        </w:rPr>
        <w:t>58</w:t>
      </w:r>
      <w:r>
        <w:rPr>
          <w:rFonts w:hint="eastAsia" w:ascii="仿宋_GB2312" w:hAnsi="Times New Roman" w:eastAsia="仿宋_GB2312"/>
          <w:color w:val="auto"/>
          <w:sz w:val="32"/>
          <w:szCs w:val="32"/>
        </w:rPr>
        <w:t>件，其中</w:t>
      </w:r>
      <w:r>
        <w:rPr>
          <w:rFonts w:hint="eastAsia" w:ascii="仿宋_GB2312" w:hAnsi="仿宋_GB2312" w:eastAsia="仿宋_GB2312" w:cs="仿宋_GB2312"/>
          <w:color w:val="auto"/>
          <w:sz w:val="32"/>
          <w:szCs w:val="32"/>
        </w:rPr>
        <w:t>社会和云平台</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lang w:val="en-US" w:eastAsia="zh-CN"/>
        </w:rPr>
        <w:t>330</w:t>
      </w:r>
      <w:r>
        <w:rPr>
          <w:rFonts w:hint="eastAsia" w:ascii="仿宋_GB2312" w:hAnsi="仿宋_GB2312" w:eastAsia="仿宋_GB2312" w:cs="仿宋_GB2312"/>
          <w:color w:val="auto"/>
          <w:sz w:val="32"/>
          <w:szCs w:val="32"/>
        </w:rPr>
        <w:t>件，省、市、区转办</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件，来电、来信投诉</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p>
    <w:p>
      <w:pPr>
        <w:rPr>
          <w:rFonts w:hint="eastAsia" w:ascii="仿宋_GB2312" w:hAnsi="Times New Roman" w:eastAsia="仿宋_GB2312"/>
          <w:color w:val="auto"/>
          <w:sz w:val="32"/>
          <w:szCs w:val="32"/>
        </w:rPr>
      </w:pPr>
      <w:r>
        <w:rPr>
          <w:rFonts w:hint="eastAsia" w:ascii="仿宋_GB2312" w:eastAsia="仿宋_GB2312"/>
          <w:color w:val="auto"/>
          <w:sz w:val="32"/>
          <w:szCs w:val="32"/>
        </w:rPr>
        <w:t>建立健全医疗纠纷预防和处置体系，按照《医疗纠纷预防和处置条例》等有关规定，依法处理各类医疗纠纷，积极推进医疗纠纷人民调解工作，引导医患双方申请医调委进行调解，有效防止了矛盾的激化。今年以来，共</w:t>
      </w:r>
      <w:r>
        <w:rPr>
          <w:rFonts w:hint="eastAsia" w:ascii="仿宋_GB2312" w:hAnsi="Times New Roman" w:eastAsia="仿宋_GB2312"/>
          <w:color w:val="auto"/>
          <w:sz w:val="32"/>
          <w:szCs w:val="32"/>
        </w:rPr>
        <w:t>处理医疗纠纷54件，其中处理结案的有44件，未结案的10件中，正在进行医疗损害和医疗事故鉴定2件、已向人民法院提起诉讼的2件、市医调委调解的4件、移交公安2件。</w:t>
      </w:r>
    </w:p>
    <w:p/>
    <w:p>
      <w:pPr>
        <w:numPr>
          <w:ilvl w:val="0"/>
          <w:numId w:val="0"/>
        </w:numPr>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0469"/>
      <w:docPartObj>
        <w:docPartGallery w:val="autotext"/>
      </w:docPartObj>
    </w:sdtPr>
    <w:sdtContent>
      <w:p>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021D2"/>
    <w:multiLevelType w:val="singleLevel"/>
    <w:tmpl w:val="A40021D2"/>
    <w:lvl w:ilvl="0" w:tentative="0">
      <w:start w:val="2"/>
      <w:numFmt w:val="chineseCounting"/>
      <w:suff w:val="nothing"/>
      <w:lvlText w:val="%1、"/>
      <w:lvlJc w:val="left"/>
      <w:rPr>
        <w:rFonts w:hint="eastAsia"/>
      </w:rPr>
    </w:lvl>
  </w:abstractNum>
  <w:abstractNum w:abstractNumId="1">
    <w:nsid w:val="BD9CBC38"/>
    <w:multiLevelType w:val="singleLevel"/>
    <w:tmpl w:val="BD9CBC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DF"/>
    <w:rsid w:val="000039E7"/>
    <w:rsid w:val="00024CEC"/>
    <w:rsid w:val="000300BD"/>
    <w:rsid w:val="000F3248"/>
    <w:rsid w:val="000F5092"/>
    <w:rsid w:val="00113D90"/>
    <w:rsid w:val="0014788A"/>
    <w:rsid w:val="00161D3A"/>
    <w:rsid w:val="002A2A63"/>
    <w:rsid w:val="0030386D"/>
    <w:rsid w:val="003602E4"/>
    <w:rsid w:val="0036336C"/>
    <w:rsid w:val="003D5D4A"/>
    <w:rsid w:val="004740F5"/>
    <w:rsid w:val="004E41AD"/>
    <w:rsid w:val="005271F7"/>
    <w:rsid w:val="006268C9"/>
    <w:rsid w:val="007942E8"/>
    <w:rsid w:val="00917C0C"/>
    <w:rsid w:val="00984376"/>
    <w:rsid w:val="00A04F24"/>
    <w:rsid w:val="00A91D32"/>
    <w:rsid w:val="00AD22DF"/>
    <w:rsid w:val="00B0608B"/>
    <w:rsid w:val="00BA6A08"/>
    <w:rsid w:val="00BE4079"/>
    <w:rsid w:val="00BE73DF"/>
    <w:rsid w:val="00BF215C"/>
    <w:rsid w:val="00C04422"/>
    <w:rsid w:val="00C70A2F"/>
    <w:rsid w:val="00D94B15"/>
    <w:rsid w:val="00ED79B6"/>
    <w:rsid w:val="00F410AD"/>
    <w:rsid w:val="00FB229B"/>
    <w:rsid w:val="00FB2AEC"/>
    <w:rsid w:val="3AE836B6"/>
    <w:rsid w:val="471D7DA5"/>
    <w:rsid w:val="4AAC1AED"/>
    <w:rsid w:val="57906C0E"/>
    <w:rsid w:val="57F248F0"/>
    <w:rsid w:val="5C4530CA"/>
    <w:rsid w:val="615A27C1"/>
    <w:rsid w:val="738D194F"/>
    <w:rsid w:val="7EA9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rFonts w:cs="Times New Roman"/>
      <w:kern w:val="0"/>
      <w:sz w:val="24"/>
    </w:r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paragraph" w:customStyle="1" w:styleId="9">
    <w:name w:val="p0"/>
    <w:basedOn w:val="1"/>
    <w:qFormat/>
    <w:uiPriority w:val="0"/>
    <w:pPr>
      <w:widowControl/>
    </w:pPr>
    <w:rPr>
      <w:rFonts w:ascii="Calibri" w:hAnsi="Calibri" w:eastAsia="宋体" w:cs="Times New Roman"/>
    </w:rPr>
  </w:style>
  <w:style w:type="character" w:customStyle="1" w:styleId="10">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11">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2780</Characters>
  <Lines>23</Lines>
  <Paragraphs>6</Paragraphs>
  <TotalTime>16</TotalTime>
  <ScaleCrop>false</ScaleCrop>
  <LinksUpToDate>false</LinksUpToDate>
  <CharactersWithSpaces>3261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2019-12-16T04:58:00Z</dcterms:created>
  <dc:creator>Administrator</dc:creator>
  <cp:lastModifiedBy>Administrator</cp:lastModifiedBy>
  <cp:lastPrinted>2021-11-25T03:04:16Z</cp:lastPrinted>
  <dcterms:modified xsi:type="dcterms:W3CDTF">2021-11-25T04:00:09Z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0473E5ACE5774B94AA039C3F25065D23</vt:lpwstr>
  </property>
</Properties>
</file>