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sz w:val="44"/>
          <w:szCs w:val="44"/>
        </w:rPr>
        <w:t>清镇市市场监督管理局</w:t>
      </w:r>
      <w:r>
        <w:rPr>
          <w:rFonts w:hint="eastAsia" w:ascii="方正小标宋简体" w:hAnsi="方正小标宋简体" w:eastAsia="方正小标宋简体" w:cs="方正小标宋简体"/>
          <w:b w:val="0"/>
          <w:bCs w:val="0"/>
          <w:sz w:val="44"/>
          <w:szCs w:val="44"/>
          <w:lang w:eastAsia="zh-CN"/>
        </w:rPr>
        <w:t>食品</w:t>
      </w:r>
      <w:r>
        <w:rPr>
          <w:rFonts w:hint="eastAsia" w:ascii="方正小标宋简体" w:hAnsi="方正小标宋简体" w:eastAsia="方正小标宋简体" w:cs="方正小标宋简体"/>
          <w:b w:val="0"/>
          <w:bCs w:val="0"/>
          <w:kern w:val="0"/>
          <w:sz w:val="44"/>
          <w:szCs w:val="44"/>
        </w:rPr>
        <w:t>快速</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rPr>
        <w:t>抽查检测</w:t>
      </w:r>
      <w:r>
        <w:rPr>
          <w:rFonts w:hint="eastAsia" w:ascii="方正小标宋简体" w:hAnsi="方正小标宋简体" w:eastAsia="方正小标宋简体" w:cs="方正小标宋简体"/>
          <w:b w:val="0"/>
          <w:bCs w:val="0"/>
          <w:sz w:val="44"/>
          <w:szCs w:val="44"/>
        </w:rPr>
        <w:t>方案</w:t>
      </w:r>
    </w:p>
    <w:p>
      <w:pPr>
        <w:pStyle w:val="2"/>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b/>
          <w:sz w:val="28"/>
          <w:szCs w:val="28"/>
        </w:rPr>
        <w:t>1.检测场所：</w:t>
      </w:r>
      <w:r>
        <w:rPr>
          <w:rFonts w:hint="eastAsia" w:cs="仿宋" w:asciiTheme="minorEastAsia" w:hAnsiTheme="minorEastAsia" w:eastAsiaTheme="minorEastAsia"/>
          <w:sz w:val="28"/>
          <w:szCs w:val="28"/>
        </w:rPr>
        <w:t>清镇市辖区内</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仿宋" w:asciiTheme="minorEastAsia" w:hAnsiTheme="minorEastAsia" w:eastAsiaTheme="minorEastAsia"/>
          <w:sz w:val="28"/>
          <w:szCs w:val="28"/>
        </w:rPr>
      </w:pPr>
      <w:r>
        <w:rPr>
          <w:rFonts w:hint="eastAsia" w:cs="仿宋" w:asciiTheme="minorEastAsia" w:hAnsiTheme="minorEastAsia" w:eastAsiaTheme="minorEastAsia"/>
          <w:b/>
          <w:sz w:val="28"/>
          <w:szCs w:val="28"/>
        </w:rPr>
        <w:t>2.抽检数量：</w:t>
      </w:r>
      <w:r>
        <w:rPr>
          <w:rFonts w:hint="eastAsia" w:cs="仿宋" w:asciiTheme="minorEastAsia" w:hAnsiTheme="minorEastAsia" w:eastAsiaTheme="minorEastAsia"/>
          <w:sz w:val="28"/>
          <w:szCs w:val="28"/>
        </w:rPr>
        <w:t>以全年12个月为单位，每月检测4次，每次检测不少于30批次，全年合计不少于1440批次。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3.快速检测项目(必须包含但不仅限以下项目）</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4394"/>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477" w:type="pct"/>
            <w:noWrap/>
            <w:vAlign w:val="center"/>
          </w:tcPr>
          <w:p>
            <w:pPr>
              <w:spacing w:line="560" w:lineRule="exact"/>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类别</w:t>
            </w:r>
          </w:p>
        </w:tc>
        <w:tc>
          <w:tcPr>
            <w:tcW w:w="2578" w:type="pct"/>
            <w:noWrap/>
            <w:vAlign w:val="center"/>
          </w:tcPr>
          <w:p>
            <w:pPr>
              <w:spacing w:line="560" w:lineRule="exact"/>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检测项目</w:t>
            </w:r>
          </w:p>
        </w:tc>
        <w:tc>
          <w:tcPr>
            <w:tcW w:w="945" w:type="pct"/>
            <w:noWrap/>
            <w:vAlign w:val="center"/>
          </w:tcPr>
          <w:p>
            <w:pPr>
              <w:spacing w:line="560" w:lineRule="exact"/>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477"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蔬菜农药残留、水果农药残留</w:t>
            </w: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szCs w:val="21"/>
              </w:rPr>
              <w:t>有机磷和氨基甲酸酯</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477"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蔬菜农药残留、水果农药残留</w:t>
            </w:r>
          </w:p>
        </w:tc>
        <w:tc>
          <w:tcPr>
            <w:tcW w:w="2578" w:type="pct"/>
            <w:noWrap/>
            <w:vAlign w:val="center"/>
          </w:tcPr>
          <w:p>
            <w:pPr>
              <w:spacing w:line="560" w:lineRule="exact"/>
              <w:jc w:val="left"/>
              <w:outlineLvl w:val="2"/>
              <w:rPr>
                <w:rFonts w:cs="仿宋" w:asciiTheme="minorEastAsia" w:hAnsiTheme="minorEastAsia" w:eastAsiaTheme="minorEastAsia"/>
                <w:szCs w:val="21"/>
              </w:rPr>
            </w:pPr>
            <w:r>
              <w:rPr>
                <w:rFonts w:hint="eastAsia" w:cs="仿宋" w:asciiTheme="minorEastAsia" w:hAnsiTheme="minorEastAsia" w:eastAsiaTheme="minorEastAsia"/>
                <w:szCs w:val="21"/>
              </w:rPr>
              <w:t>单农残检测（克百威、多菌灵、三唑酮和三唑醇二合一、啶虫脒、噻菌灵、三唑磷、腐霉利、百菌清、毒死蜱、甲霜灵、氟虫腈、腈菌唑、二甲戊灵、甲氰菊酯、4-氯苯氧乙酸、6-苄基腺嘌呤、三氯苯氧乙酸、氟节胺、仲丁灵、硫丹、三氯杀螨醇、异菌脲、马来酰肼、戊唑醇、甲草胺、滴滴涕、丙溴磷、甲基异柳磷、烯酰吗啉）每批次检测一个品种（具体品种根据上月高危检测品种进行确定）</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restar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瘦肉精</w:t>
            </w: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盐酸克仑特罗</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莱克多巴胺</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沙丁胺醇</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restar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抗生素、毒素残留及致病菌</w:t>
            </w: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孔雀石绿</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氯霉素</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呋喃唑酮</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呋喃它酮</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呋喃妥因</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7" w:type="pct"/>
            <w:vMerge w:val="continue"/>
            <w:noWrap/>
            <w:vAlign w:val="center"/>
          </w:tcPr>
          <w:p>
            <w:pPr>
              <w:spacing w:line="560" w:lineRule="exact"/>
              <w:jc w:val="center"/>
              <w:outlineLvl w:val="2"/>
              <w:rPr>
                <w:rFonts w:cs="仿宋" w:asciiTheme="minorEastAsia" w:hAnsiTheme="minorEastAsia" w:eastAsiaTheme="minorEastAsia"/>
                <w:bCs/>
                <w:szCs w:val="21"/>
              </w:rPr>
            </w:pP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呋喃西林</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1477"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禁用非食用物质、添加剂及理化指标</w:t>
            </w:r>
          </w:p>
        </w:tc>
        <w:tc>
          <w:tcPr>
            <w:tcW w:w="2578" w:type="pct"/>
            <w:noWrap/>
            <w:vAlign w:val="center"/>
          </w:tcPr>
          <w:p>
            <w:pPr>
              <w:spacing w:line="560" w:lineRule="exact"/>
              <w:jc w:val="left"/>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甲醛、吊白块、硼砂、火碱、苏丹红、罗丹明B、铝的残留量等；亚硝酸盐、山梨酸、苯甲酸、甜蜜素、安赛蜜、氨基酸态氮、肉类水分、游离矿酸、陈化粮、着色剂、铅、汞、砷等。</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055" w:type="pct"/>
            <w:gridSpan w:val="2"/>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小计</w:t>
            </w:r>
          </w:p>
        </w:tc>
        <w:tc>
          <w:tcPr>
            <w:tcW w:w="945" w:type="pct"/>
            <w:noWrap/>
            <w:vAlign w:val="center"/>
          </w:tcPr>
          <w:p>
            <w:pPr>
              <w:spacing w:line="560" w:lineRule="exact"/>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1440</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4.快检主要品种和项目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cs="仿宋" w:asciiTheme="minorEastAsia" w:hAnsiTheme="minorEastAsia" w:eastAsiaTheme="minorEastAsia"/>
          <w:b/>
          <w:bCs/>
          <w:sz w:val="28"/>
          <w:szCs w:val="28"/>
        </w:rPr>
      </w:pPr>
      <w:r>
        <w:rPr>
          <w:rFonts w:hint="eastAsia" w:cs="仿宋" w:asciiTheme="minorEastAsia" w:hAnsiTheme="minorEastAsia" w:eastAsiaTheme="minorEastAsia"/>
          <w:sz w:val="28"/>
          <w:szCs w:val="28"/>
        </w:rPr>
        <w:t>快检品种应当包括：群众消费量较大的常见蔬菜、水果、畜禽肉、水产品等品种；日常监管中发现的常见风险与共性问题涉及的品种；新闻媒体披露的重热点食品安全事件相关品种；年度消费者关注的重点品种；上级交办的快速检测任务品种；其他需要列入快速检测的品种。</w:t>
      </w:r>
      <w:r>
        <w:rPr>
          <w:rFonts w:hint="eastAsia" w:cs="仿宋" w:asciiTheme="minorEastAsia" w:hAnsiTheme="minorEastAsia" w:eastAsiaTheme="minorEastAsia"/>
          <w:b/>
          <w:sz w:val="28"/>
          <w:szCs w:val="28"/>
        </w:rPr>
        <w:t>快速</w:t>
      </w:r>
      <w:r>
        <w:rPr>
          <w:rFonts w:hint="eastAsia" w:cs="仿宋" w:asciiTheme="minorEastAsia" w:hAnsiTheme="minorEastAsia" w:eastAsiaTheme="minorEastAsia"/>
          <w:b/>
          <w:bCs/>
          <w:sz w:val="28"/>
          <w:szCs w:val="28"/>
        </w:rPr>
        <w:t>检测品种和项目要求不少于表1所列项目（实际检测时采购人可适当调整项目）。</w:t>
      </w:r>
    </w:p>
    <w:p>
      <w:pPr>
        <w:spacing w:line="560" w:lineRule="exact"/>
        <w:jc w:val="center"/>
        <w:rPr>
          <w:rFonts w:cs="仿宋" w:asciiTheme="minorEastAsia" w:hAnsiTheme="minorEastAsia" w:eastAsiaTheme="minorEastAsia"/>
          <w:b/>
          <w:bCs/>
          <w:sz w:val="22"/>
        </w:rPr>
      </w:pPr>
      <w:r>
        <w:rPr>
          <w:rFonts w:hint="eastAsia" w:cs="仿宋" w:asciiTheme="minorEastAsia" w:hAnsiTheme="minorEastAsia" w:eastAsiaTheme="minorEastAsia"/>
          <w:b/>
          <w:bCs/>
          <w:sz w:val="22"/>
        </w:rPr>
        <w:t>表1  快速检测品种和项目</w:t>
      </w:r>
    </w:p>
    <w:tbl>
      <w:tblPr>
        <w:tblStyle w:val="5"/>
        <w:tblW w:w="5000" w:type="pct"/>
        <w:jc w:val="center"/>
        <w:tblLayout w:type="fixed"/>
        <w:tblCellMar>
          <w:top w:w="0" w:type="dxa"/>
          <w:left w:w="10" w:type="dxa"/>
          <w:bottom w:w="0" w:type="dxa"/>
          <w:right w:w="10" w:type="dxa"/>
        </w:tblCellMar>
      </w:tblPr>
      <w:tblGrid>
        <w:gridCol w:w="1319"/>
        <w:gridCol w:w="3854"/>
        <w:gridCol w:w="3349"/>
      </w:tblGrid>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9" w:hanging="55"/>
              <w:jc w:val="center"/>
              <w:rPr>
                <w:rFonts w:cs="仿宋" w:asciiTheme="minorEastAsia" w:hAnsiTheme="minorEastAsia" w:eastAsiaTheme="minorEastAsia"/>
                <w:szCs w:val="21"/>
              </w:rPr>
            </w:pPr>
            <w:r>
              <w:rPr>
                <w:rFonts w:hint="eastAsia" w:cs="仿宋" w:asciiTheme="minorEastAsia" w:hAnsiTheme="minorEastAsia" w:eastAsiaTheme="minorEastAsia"/>
                <w:szCs w:val="21"/>
              </w:rPr>
              <w:t>种类</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2" w:hanging="15"/>
              <w:jc w:val="center"/>
              <w:rPr>
                <w:rFonts w:cs="仿宋" w:asciiTheme="minorEastAsia" w:hAnsiTheme="minorEastAsia" w:eastAsiaTheme="minorEastAsia"/>
                <w:szCs w:val="21"/>
              </w:rPr>
            </w:pPr>
            <w:r>
              <w:rPr>
                <w:rFonts w:hint="eastAsia" w:cs="仿宋" w:asciiTheme="minorEastAsia" w:hAnsiTheme="minorEastAsia" w:eastAsiaTheme="minorEastAsia"/>
                <w:szCs w:val="21"/>
              </w:rPr>
              <w:t>重点快检品种</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jc w:val="center"/>
              <w:rPr>
                <w:rFonts w:cs="仿宋" w:asciiTheme="minorEastAsia" w:hAnsiTheme="minorEastAsia" w:eastAsiaTheme="minorEastAsia"/>
                <w:szCs w:val="21"/>
              </w:rPr>
            </w:pPr>
            <w:r>
              <w:rPr>
                <w:rFonts w:hint="eastAsia" w:cs="仿宋" w:asciiTheme="minorEastAsia" w:hAnsiTheme="minorEastAsia" w:eastAsiaTheme="minorEastAsia"/>
                <w:szCs w:val="21"/>
              </w:rPr>
              <w:t>重点快检项目</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蔬菜</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生菜、菜心、上海青、苦麦菜、黄白菜、小白菜、芥兰、芹菜、韭菜、西兰花、青瓜、茄子、四季豆、豇豆、土豆等</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有机磷类、氨基甲酸酯类、菊酯类、有机氯类农药、杀菌剂类农药等</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水果</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苹果、桔子、梨、橙子、香蕉、桃子等</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有机磷类、氨基甲酸酯类、菊酯类、有机氯类农药、杀菌剂类农药等</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水产品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鲫鱼、草鱼、黄骨鱼、鳜鱼、花甲、扇贝、白贝、淡水虾、贻贝等</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甲醛，孔雀石绿，硝基呋喃类，氯霉素，磺胺类，二氧化硫</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畜禽肉类</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猪肉、牛肉、羊肉、鸡肉等</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盐酸克伦特罗，沙丁胺醇，莱克多巴胺，水分，硝基呋喃类，氯霉素，磺胺类，水分</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食用植物油</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食用油（煎炸油）等</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酸价、过氧化值、极性组分</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粮食加工品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小麦粉、生湿面制品</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吊白块、过氧化苯甲酰</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粮食加工品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大米</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vertAlign w:val="subscript"/>
              </w:rPr>
            </w:pPr>
            <w:r>
              <w:rPr>
                <w:rFonts w:hint="eastAsia" w:cs="仿宋" w:asciiTheme="minorEastAsia" w:hAnsiTheme="minorEastAsia" w:eastAsiaTheme="minorEastAsia"/>
                <w:szCs w:val="21"/>
              </w:rPr>
              <w:t>黄曲霉毒素B</w:t>
            </w:r>
            <w:r>
              <w:rPr>
                <w:rFonts w:hint="eastAsia" w:cs="仿宋" w:asciiTheme="minorEastAsia" w:hAnsiTheme="minorEastAsia" w:eastAsiaTheme="minorEastAsia"/>
                <w:szCs w:val="21"/>
                <w:vertAlign w:val="subscript"/>
              </w:rPr>
              <w:t>1</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米面制品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馒头、发糕、油条</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硫酸铝钾、硫酸铝铵</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肉制品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散装熟卤肉制品</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亚硝酸盐</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水产制品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水产制品</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二氧化硫</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水发产品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水发产品</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甲醛、双氧水</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淀粉制品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粉丝、粉条、凉皮</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铝的残留量、二氧化硫</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糕点</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散装糕点</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酸价、过氧化值</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调味品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火锅、麻辣烫调味料（底料、蘸料）</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罂粟类物质</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膨化食品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膨化食品</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铝的残留量</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豆制品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腐竹、豆干、豆腐</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铝的残留量、二氧化硫、吊白块</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水果制品</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蜜饯、果脯</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糖精钠、甜蜜素</w:t>
            </w:r>
          </w:p>
        </w:tc>
      </w:tr>
      <w:tr>
        <w:tblPrEx>
          <w:tblCellMar>
            <w:top w:w="0" w:type="dxa"/>
            <w:left w:w="10" w:type="dxa"/>
            <w:bottom w:w="0" w:type="dxa"/>
            <w:right w:w="10" w:type="dxa"/>
          </w:tblCellMar>
        </w:tblPrEx>
        <w:trPr>
          <w:trHeight w:val="567" w:hRule="atLeast"/>
          <w:jc w:val="center"/>
        </w:trPr>
        <w:tc>
          <w:tcPr>
            <w:tcW w:w="773"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茶叶</w:t>
            </w:r>
          </w:p>
        </w:tc>
        <w:tc>
          <w:tcPr>
            <w:tcW w:w="2261"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rPr>
                <w:rFonts w:cs="仿宋" w:asciiTheme="minorEastAsia" w:hAnsiTheme="minorEastAsia" w:eastAsiaTheme="minorEastAsia"/>
                <w:szCs w:val="21"/>
              </w:rPr>
            </w:pPr>
            <w:r>
              <w:rPr>
                <w:rFonts w:hint="eastAsia" w:cs="仿宋" w:asciiTheme="minorEastAsia" w:hAnsiTheme="minorEastAsia" w:eastAsiaTheme="minorEastAsia"/>
                <w:szCs w:val="21"/>
              </w:rPr>
              <w:t>茶叶</w:t>
            </w:r>
          </w:p>
        </w:tc>
        <w:tc>
          <w:tcPr>
            <w:tcW w:w="1965" w:type="pct"/>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vAlign w:val="center"/>
          </w:tcPr>
          <w:p>
            <w:pPr>
              <w:spacing w:line="560" w:lineRule="exact"/>
              <w:ind w:left="8" w:hanging="42"/>
              <w:rPr>
                <w:rFonts w:cs="仿宋" w:asciiTheme="minorEastAsia" w:hAnsiTheme="minorEastAsia" w:eastAsiaTheme="minorEastAsia"/>
                <w:szCs w:val="21"/>
              </w:rPr>
            </w:pPr>
            <w:r>
              <w:rPr>
                <w:rFonts w:hint="eastAsia" w:cs="仿宋" w:asciiTheme="minorEastAsia" w:hAnsiTheme="minorEastAsia" w:eastAsiaTheme="minorEastAsia"/>
                <w:szCs w:val="21"/>
              </w:rPr>
              <w:t>有机磷类、氨基甲酸酯类、菊酯类、有机氯类农药、杀菌剂类农药等</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5.其他要求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5.1提供快检服务时，需提供与快检项目相适应的试剂，并完成相关检测报告整理。在服务期限内，仪器所有的维护、维修费用及试剂费用均由</w:t>
      </w:r>
      <w:r>
        <w:rPr>
          <w:rFonts w:hint="eastAsia" w:cs="仿宋" w:asciiTheme="minorEastAsia" w:hAnsiTheme="minorEastAsia" w:eastAsiaTheme="minorEastAsia"/>
          <w:sz w:val="28"/>
          <w:szCs w:val="28"/>
          <w:lang w:eastAsia="zh-CN"/>
        </w:rPr>
        <w:t>承检方</w:t>
      </w:r>
      <w:r>
        <w:rPr>
          <w:rFonts w:hint="eastAsia" w:cs="仿宋" w:asciiTheme="minorEastAsia" w:hAnsiTheme="minorEastAsia" w:eastAsiaTheme="minorEastAsia"/>
          <w:sz w:val="28"/>
          <w:szCs w:val="28"/>
        </w:rPr>
        <w:t>承担，协助市场监管部门做好相关快检结果后续处置工作，实现从样品抽取到完成后续处理的全周期“包干”服务。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5.2快检试剂要求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02"/>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2" w:type="pct"/>
            <w:noWrap/>
            <w:vAlign w:val="center"/>
          </w:tcPr>
          <w:p>
            <w:pPr>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检测类别</w:t>
            </w:r>
          </w:p>
        </w:tc>
        <w:tc>
          <w:tcPr>
            <w:tcW w:w="1996" w:type="pct"/>
            <w:noWrap/>
            <w:vAlign w:val="center"/>
          </w:tcPr>
          <w:p>
            <w:pPr>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检测试剂</w:t>
            </w:r>
          </w:p>
        </w:tc>
        <w:tc>
          <w:tcPr>
            <w:tcW w:w="2192" w:type="pct"/>
            <w:vAlign w:val="center"/>
          </w:tcPr>
          <w:p>
            <w:pPr>
              <w:jc w:val="center"/>
              <w:outlineLvl w:val="2"/>
              <w:rPr>
                <w:rFonts w:cs="仿宋" w:asciiTheme="minorEastAsia" w:hAnsiTheme="minorEastAsia" w:eastAsiaTheme="minorEastAsia"/>
                <w:b/>
                <w:szCs w:val="21"/>
              </w:rPr>
            </w:pPr>
            <w:r>
              <w:rPr>
                <w:rFonts w:hint="eastAsia" w:cs="仿宋" w:asciiTheme="minorEastAsia" w:hAnsiTheme="minorEastAsia" w:eastAsiaTheme="minorEastAsia"/>
                <w:b/>
                <w:szCs w:val="21"/>
              </w:rPr>
              <w:t>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12"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蔬菜农药残留、水果农药残留</w:t>
            </w: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有机磷和氨基甲酸酯类农药残留检测试剂</w:t>
            </w:r>
          </w:p>
        </w:tc>
        <w:tc>
          <w:tcPr>
            <w:tcW w:w="2192" w:type="pct"/>
            <w:vAlign w:val="center"/>
          </w:tcPr>
          <w:p>
            <w:pPr>
              <w:jc w:val="center"/>
              <w:outlineLvl w:val="2"/>
              <w:rPr>
                <w:rFonts w:cs="仿宋" w:asciiTheme="minorEastAsia" w:hAnsiTheme="minorEastAsia" w:eastAsiaTheme="minorEastAsia"/>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2"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蔬菜农药残留、水果农药残留</w:t>
            </w: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单农残检测试剂（克百威、多菌灵、三唑酮和三唑醇二合一、啶虫脒、噻菌灵、三唑磷、腐霉利、百菌清、毒死蜱、甲霜灵、氟虫腈、腈菌唑、二甲戊灵、甲氰菊酯、4-氯苯氧乙酸、6-苄基腺嘌呤、三氯苯氧乙酸、氟节胺、仲丁灵、硫丹、三氯杀螨醇、异菌脲、马来酰肼、戊唑醇、甲草胺、滴滴涕、丙溴磷、甲基异柳磷、烯酰吗啉）每批次检测一个品种（具体品种根据上月高危检测品种进行确定）</w:t>
            </w:r>
          </w:p>
        </w:tc>
        <w:tc>
          <w:tcPr>
            <w:tcW w:w="2192" w:type="pct"/>
            <w:vAlign w:val="center"/>
          </w:tcPr>
          <w:p>
            <w:pPr>
              <w:jc w:val="center"/>
              <w:outlineLvl w:val="2"/>
              <w:rPr>
                <w:rFonts w:ascii="微软雅黑" w:hAnsi="微软雅黑" w:eastAsia="微软雅黑"/>
                <w:spacing w:val="6"/>
                <w:sz w:val="18"/>
                <w:szCs w:val="18"/>
                <w:shd w:val="clear" w:color="auto" w:fill="FFFFFF"/>
              </w:rPr>
            </w:pPr>
            <w:r>
              <w:rPr>
                <w:rFonts w:hint="eastAsia" w:ascii="宋体" w:hAnsi="宋体"/>
              </w:rPr>
              <w:t>▲</w:t>
            </w:r>
            <w:r>
              <w:rPr>
                <w:rFonts w:hint="eastAsia" w:hAnsi="宋体"/>
                <w:szCs w:val="21"/>
              </w:rPr>
              <w:t>腐霉利、克百威、4-氯苯氧乙酸、6-苄基腺嘌呤检测试剂产品需具备省级及以上权威机构出具的复核报告。（</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restar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瘦肉精</w:t>
            </w: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盐酸克仑特罗残留检测试剂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莱克多巴胺残留检测试剂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沙丁胺醇残留检测试剂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restar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抗生素、毒素残留及致病菌</w:t>
            </w: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孔雀石绿残留检测试剂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氯霉素残留检测试剂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cs="仿宋" w:asciiTheme="minorEastAsia" w:hAnsiTheme="minorEastAsia" w:eastAsiaTheme="minorEastAsia"/>
                <w:bCs/>
                <w:szCs w:val="21"/>
              </w:rPr>
              <w:t>产品</w:t>
            </w:r>
            <w:r>
              <w:rPr>
                <w:rFonts w:hint="eastAsia" w:hAnsi="宋体"/>
                <w:szCs w:val="21"/>
              </w:rPr>
              <w:t>需具备省级及以上权威机构出具的复核报告。（</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呋喃唑酮残留检测试剂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呋喃它酮残留检测试剂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呋喃妥因残留检测试剂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pct"/>
            <w:vMerge w:val="continue"/>
            <w:noWrap/>
            <w:vAlign w:val="center"/>
          </w:tcPr>
          <w:p>
            <w:pPr>
              <w:jc w:val="center"/>
              <w:outlineLvl w:val="2"/>
              <w:rPr>
                <w:rFonts w:cs="仿宋" w:asciiTheme="minorEastAsia" w:hAnsiTheme="minorEastAsia" w:eastAsiaTheme="minorEastAsia"/>
                <w:bCs/>
                <w:szCs w:val="21"/>
              </w:rPr>
            </w:pP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呋喃西林残留检测试剂</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hAnsi="宋体"/>
                <w:szCs w:val="21"/>
              </w:rPr>
              <w:t>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文件中需提供复核报告复印件并加盖生产厂家公章）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12"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禁用非食用物质、添加剂及理化指标</w:t>
            </w:r>
          </w:p>
        </w:tc>
        <w:tc>
          <w:tcPr>
            <w:tcW w:w="1996" w:type="pct"/>
            <w:noWrap/>
            <w:vAlign w:val="center"/>
          </w:tcPr>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其他检测试剂</w:t>
            </w:r>
          </w:p>
          <w:p>
            <w:pPr>
              <w:jc w:val="center"/>
              <w:outlineLvl w:val="2"/>
              <w:rPr>
                <w:rFonts w:cs="仿宋" w:asciiTheme="minorEastAsia" w:hAnsiTheme="minorEastAsia" w:eastAsiaTheme="minorEastAsia"/>
                <w:bCs/>
                <w:szCs w:val="21"/>
              </w:rPr>
            </w:pPr>
            <w:r>
              <w:rPr>
                <w:rFonts w:hint="eastAsia" w:cs="仿宋" w:asciiTheme="minorEastAsia" w:hAnsiTheme="minorEastAsia" w:eastAsiaTheme="minorEastAsia"/>
                <w:bCs/>
                <w:szCs w:val="21"/>
              </w:rPr>
              <w:t>(甲醛、吊白块、硼砂、火碱、苏丹红、罗丹明B、铝的残留量等；亚硝酸盐、山梨酸、苯甲酸、甜蜜素、安赛蜜、氨基酸态氮、肉类水分、游离矿酸、陈化粮、着色剂、铅、汞、砷等。)</w:t>
            </w:r>
          </w:p>
        </w:tc>
        <w:tc>
          <w:tcPr>
            <w:tcW w:w="2192" w:type="pct"/>
            <w:vAlign w:val="center"/>
          </w:tcPr>
          <w:p>
            <w:pPr>
              <w:jc w:val="center"/>
              <w:outlineLvl w:val="2"/>
              <w:rPr>
                <w:rFonts w:cs="仿宋" w:asciiTheme="minorEastAsia" w:hAnsiTheme="minorEastAsia" w:eastAsiaTheme="minorEastAsia"/>
                <w:bCs/>
                <w:szCs w:val="21"/>
              </w:rPr>
            </w:pPr>
            <w:r>
              <w:rPr>
                <w:rFonts w:hint="eastAsia" w:ascii="宋体" w:hAnsi="宋体"/>
              </w:rPr>
              <w:t>▲</w:t>
            </w:r>
            <w:r>
              <w:rPr>
                <w:rFonts w:hint="eastAsia" w:cs="仿宋" w:asciiTheme="minorEastAsia" w:hAnsiTheme="minorEastAsia" w:eastAsiaTheme="minorEastAsia"/>
                <w:bCs/>
                <w:szCs w:val="21"/>
              </w:rPr>
              <w:t>亚硝酸盐检测试剂</w:t>
            </w:r>
            <w:r>
              <w:rPr>
                <w:rFonts w:hint="eastAsia" w:hAnsi="宋体"/>
                <w:szCs w:val="21"/>
              </w:rPr>
              <w:t>产品、苏丹红检测试剂产品</w:t>
            </w:r>
            <w:r>
              <w:rPr>
                <w:rFonts w:hAnsi="宋体"/>
                <w:szCs w:val="21"/>
              </w:rPr>
              <w:t>检出限、特异性、假阳性率、假阴性率等应符合国家食品药品监督管理总局发布的药监科（2017）49号及43号文件规定的快检方法性能要求，需提供省级或以上政府部门实验室出具的复核报告</w:t>
            </w:r>
            <w:r>
              <w:rPr>
                <w:rFonts w:hint="eastAsia" w:hAnsi="宋体"/>
                <w:szCs w:val="21"/>
              </w:rPr>
              <w:t>。（</w:t>
            </w:r>
            <w:r>
              <w:rPr>
                <w:rFonts w:hint="eastAsia" w:hAnsi="宋体"/>
                <w:szCs w:val="21"/>
                <w:lang w:eastAsia="zh-CN"/>
              </w:rPr>
              <w:t>报价</w:t>
            </w:r>
            <w:r>
              <w:rPr>
                <w:rFonts w:hint="eastAsia" w:hAnsi="宋体"/>
                <w:szCs w:val="21"/>
              </w:rPr>
              <w:t>文件中</w:t>
            </w:r>
            <w:bookmarkStart w:id="0" w:name="_GoBack"/>
            <w:bookmarkEnd w:id="0"/>
            <w:r>
              <w:rPr>
                <w:rFonts w:hint="eastAsia" w:hAnsi="宋体"/>
                <w:szCs w:val="21"/>
              </w:rPr>
              <w:t>需提供复核报告复印件并加盖生产厂家公章）</w:t>
            </w:r>
          </w:p>
        </w:tc>
      </w:tr>
    </w:tbl>
    <w:p>
      <w:pPr>
        <w:pStyle w:val="2"/>
      </w:pP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60F8"/>
    <w:rsid w:val="0003407E"/>
    <w:rsid w:val="000544FA"/>
    <w:rsid w:val="000D60F8"/>
    <w:rsid w:val="001A56A1"/>
    <w:rsid w:val="0031511C"/>
    <w:rsid w:val="00330C23"/>
    <w:rsid w:val="00356CA5"/>
    <w:rsid w:val="00385E5E"/>
    <w:rsid w:val="003D489A"/>
    <w:rsid w:val="00586738"/>
    <w:rsid w:val="005D075C"/>
    <w:rsid w:val="00712A1C"/>
    <w:rsid w:val="00845CAB"/>
    <w:rsid w:val="0087397A"/>
    <w:rsid w:val="00884229"/>
    <w:rsid w:val="009A5E26"/>
    <w:rsid w:val="00B07FD4"/>
    <w:rsid w:val="00B773AE"/>
    <w:rsid w:val="00C61D8D"/>
    <w:rsid w:val="00CF4FBB"/>
    <w:rsid w:val="00D432F6"/>
    <w:rsid w:val="00DB1C07"/>
    <w:rsid w:val="00DD130E"/>
    <w:rsid w:val="00EF7531"/>
    <w:rsid w:val="07E00815"/>
    <w:rsid w:val="225B0ABD"/>
    <w:rsid w:val="3138761C"/>
    <w:rsid w:val="3BDD0D17"/>
    <w:rsid w:val="4EA16630"/>
    <w:rsid w:val="5FB8205D"/>
    <w:rsid w:val="61E35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line="360" w:lineRule="auto"/>
      <w:jc w:val="left"/>
      <w:outlineLvl w:val="1"/>
    </w:pPr>
    <w:rPr>
      <w:rFonts w:ascii="Arial" w:hAnsi="Arial" w:eastAsia="黑体"/>
      <w:b/>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rPr>
      <w:szCs w:val="21"/>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727</Words>
  <Characters>4146</Characters>
  <Lines>34</Lines>
  <Paragraphs>9</Paragraphs>
  <TotalTime>1</TotalTime>
  <ScaleCrop>false</ScaleCrop>
  <LinksUpToDate>false</LinksUpToDate>
  <CharactersWithSpaces>4864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2021-05-31T14:44:00Z</dcterms:created>
  <dc:creator>Administrator.DESKTOP-99CED1L</dc:creator>
  <cp:lastModifiedBy>Administrator</cp:lastModifiedBy>
  <dcterms:modified xsi:type="dcterms:W3CDTF">2021-06-30T04:10:04Z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D5B0F78A74184953B5039DD10F2C661D</vt:lpwstr>
  </property>
</Properties>
</file>